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1775" w:rsidRDefault="00D16BAC" w:rsidP="00D16BAC">
      <w:pPr>
        <w:spacing w:after="0"/>
        <w:rPr>
          <w:rFonts w:ascii="Trajan Pro" w:hAnsi="Trajan Pro"/>
          <w:b/>
          <w:sz w:val="28"/>
          <w:szCs w:val="28"/>
        </w:rPr>
      </w:pPr>
      <w:r>
        <w:rPr>
          <w:noProof/>
        </w:rPr>
        <w:drawing>
          <wp:anchor distT="0" distB="0" distL="0" distR="0" simplePos="0" relativeHeight="251658752" behindDoc="0" locked="0" layoutInCell="1" allowOverlap="1" wp14:anchorId="02E73FFA" wp14:editId="7C8E05CD">
            <wp:simplePos x="0" y="0"/>
            <wp:positionH relativeFrom="column">
              <wp:posOffset>4037965</wp:posOffset>
            </wp:positionH>
            <wp:positionV relativeFrom="paragraph">
              <wp:posOffset>12700</wp:posOffset>
            </wp:positionV>
            <wp:extent cx="2157730" cy="686435"/>
            <wp:effectExtent l="0" t="0" r="0" b="0"/>
            <wp:wrapSquare wrapText="largest"/>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9"/>
                    <a:srcRect l="8895" t="37459" r="12559" b="37552"/>
                    <a:stretch>
                      <a:fillRect/>
                    </a:stretch>
                  </pic:blipFill>
                  <pic:spPr>
                    <a:xfrm>
                      <a:off x="0" y="0"/>
                      <a:ext cx="2157730" cy="686435"/>
                    </a:xfrm>
                    <a:prstGeom prst="rect">
                      <a:avLst/>
                    </a:prstGeom>
                  </pic:spPr>
                </pic:pic>
              </a:graphicData>
            </a:graphic>
          </wp:anchor>
        </w:drawing>
      </w:r>
      <w:r w:rsidR="00C125CF">
        <w:rPr>
          <w:noProof/>
        </w:rPr>
        <w:drawing>
          <wp:anchor distT="0" distB="0" distL="114300" distR="114300" simplePos="0" relativeHeight="251656704" behindDoc="0" locked="0" layoutInCell="1" allowOverlap="1" wp14:anchorId="3EA60359" wp14:editId="01DB35B8">
            <wp:simplePos x="0" y="0"/>
            <wp:positionH relativeFrom="column">
              <wp:posOffset>-700405</wp:posOffset>
            </wp:positionH>
            <wp:positionV relativeFrom="margin">
              <wp:posOffset>10160</wp:posOffset>
            </wp:positionV>
            <wp:extent cx="935355" cy="913765"/>
            <wp:effectExtent l="0" t="0" r="0" b="635"/>
            <wp:wrapTight wrapText="bothSides">
              <wp:wrapPolygon edited="0">
                <wp:start x="6599" y="0"/>
                <wp:lineTo x="3959" y="1351"/>
                <wp:lineTo x="0" y="5404"/>
                <wp:lineTo x="0" y="15761"/>
                <wp:lineTo x="5279" y="21165"/>
                <wp:lineTo x="6599" y="21165"/>
                <wp:lineTo x="14517" y="21165"/>
                <wp:lineTo x="15837" y="21165"/>
                <wp:lineTo x="21116" y="15761"/>
                <wp:lineTo x="21116" y="5404"/>
                <wp:lineTo x="17157" y="1351"/>
                <wp:lineTo x="14517" y="0"/>
                <wp:lineTo x="6599"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10"/>
                    <a:stretch>
                      <a:fillRect/>
                    </a:stretch>
                  </pic:blipFill>
                  <pic:spPr>
                    <a:xfrm>
                      <a:off x="0" y="0"/>
                      <a:ext cx="935355" cy="913765"/>
                    </a:xfrm>
                    <a:prstGeom prst="rect">
                      <a:avLst/>
                    </a:prstGeom>
                  </pic:spPr>
                </pic:pic>
              </a:graphicData>
            </a:graphic>
          </wp:anchor>
        </w:drawing>
      </w:r>
      <w:r w:rsidR="00C125CF">
        <w:rPr>
          <w:rFonts w:ascii="Trajan Pro" w:hAnsi="Trajan Pro"/>
          <w:b/>
          <w:sz w:val="28"/>
          <w:szCs w:val="28"/>
        </w:rPr>
        <w:t xml:space="preserve">MINISTERUL FINANȚELOR       </w:t>
      </w:r>
    </w:p>
    <w:p w:rsidR="00CB1775" w:rsidRDefault="00C125CF">
      <w:pPr>
        <w:spacing w:after="0"/>
        <w:rPr>
          <w:rFonts w:ascii="Trebuchet MS" w:hAnsi="Trebuchet MS"/>
          <w:b/>
          <w:sz w:val="24"/>
          <w:szCs w:val="24"/>
          <w:lang w:val="ro-RO"/>
        </w:rPr>
      </w:pPr>
      <w:proofErr w:type="spellStart"/>
      <w:r>
        <w:rPr>
          <w:rFonts w:ascii="Trebuchet MS" w:hAnsi="Trebuchet MS"/>
          <w:b/>
          <w:sz w:val="24"/>
          <w:szCs w:val="24"/>
        </w:rPr>
        <w:t>Agen</w:t>
      </w:r>
      <w:proofErr w:type="spellEnd"/>
      <w:r>
        <w:rPr>
          <w:rFonts w:ascii="Trebuchet MS" w:hAnsi="Trebuchet MS"/>
          <w:b/>
          <w:sz w:val="24"/>
          <w:szCs w:val="24"/>
          <w:lang w:val="ro-RO"/>
        </w:rPr>
        <w:t>ț</w:t>
      </w:r>
      <w:r>
        <w:rPr>
          <w:rFonts w:ascii="Trebuchet MS" w:hAnsi="Trebuchet MS"/>
          <w:b/>
          <w:sz w:val="24"/>
          <w:szCs w:val="24"/>
          <w:lang w:val="ro-RO"/>
        </w:rPr>
        <w:t>ia Națională de Administrare Fiscală</w:t>
      </w:r>
    </w:p>
    <w:p w:rsidR="00CB1775" w:rsidRDefault="00CB1775">
      <w:pPr>
        <w:spacing w:after="0"/>
        <w:rPr>
          <w:rFonts w:ascii="Trebuchet MS" w:hAnsi="Trebuchet MS" w:cs="Arial"/>
          <w:bCs/>
          <w:sz w:val="24"/>
          <w:szCs w:val="24"/>
          <w:lang w:val="ro-RO"/>
        </w:rPr>
      </w:pPr>
    </w:p>
    <w:p w:rsidR="00CB1775" w:rsidRDefault="00CB1775">
      <w:pPr>
        <w:spacing w:after="0"/>
        <w:rPr>
          <w:rFonts w:ascii="Trebuchet MS" w:hAnsi="Trebuchet MS" w:cs="Arial"/>
          <w:bCs/>
          <w:sz w:val="24"/>
          <w:szCs w:val="24"/>
          <w:lang w:val="ro-RO"/>
        </w:rPr>
      </w:pPr>
    </w:p>
    <w:p w:rsidR="00D16BAC" w:rsidRDefault="00C125CF" w:rsidP="00D16BAC">
      <w:pPr>
        <w:ind w:left="2"/>
        <w:jc w:val="center"/>
        <w:rPr>
          <w:rFonts w:ascii="Trebuchet MS" w:hAnsi="Trebuchet MS" w:cs="Trebuchet MS"/>
          <w:b/>
          <w:bCs/>
          <w:color w:val="000000"/>
          <w:sz w:val="24"/>
          <w:szCs w:val="24"/>
          <w:lang w:val="ro-RO"/>
        </w:rPr>
      </w:pPr>
      <w:r>
        <w:rPr>
          <w:rFonts w:ascii="Trebuchet MS" w:hAnsi="Trebuchet MS" w:cs="Trebuchet MS"/>
          <w:b/>
          <w:bCs/>
          <w:color w:val="000000"/>
          <w:sz w:val="24"/>
          <w:szCs w:val="24"/>
          <w:lang w:val="ro-RO"/>
        </w:rPr>
        <w:t>Referat de aprobare</w:t>
      </w:r>
    </w:p>
    <w:p w:rsidR="00CB1775" w:rsidRDefault="00C125CF" w:rsidP="00D16BAC">
      <w:pPr>
        <w:ind w:left="2"/>
        <w:jc w:val="center"/>
        <w:rPr>
          <w:rFonts w:ascii="Trebuchet MS" w:hAnsi="Trebuchet MS" w:cs="Trebuchet MS"/>
          <w:b/>
          <w:bCs/>
          <w:color w:val="000000"/>
          <w:sz w:val="24"/>
          <w:szCs w:val="24"/>
        </w:rPr>
      </w:pPr>
      <w:r>
        <w:rPr>
          <w:rFonts w:ascii="Trebuchet MS" w:hAnsi="Trebuchet MS" w:cs="Trebuchet MS"/>
          <w:b/>
          <w:bCs/>
          <w:color w:val="000000"/>
          <w:sz w:val="24"/>
          <w:szCs w:val="24"/>
          <w:lang w:val="ro-RO"/>
        </w:rPr>
        <w:t xml:space="preserve">a proiectului de ordin </w:t>
      </w:r>
      <w:proofErr w:type="spellStart"/>
      <w:r>
        <w:rPr>
          <w:rFonts w:ascii="Trebuchet MS" w:hAnsi="Trebuchet MS" w:cs="Trebuchet MS"/>
          <w:b/>
          <w:color w:val="000000"/>
          <w:sz w:val="24"/>
          <w:szCs w:val="24"/>
        </w:rPr>
        <w:t>pentru</w:t>
      </w:r>
      <w:proofErr w:type="spellEnd"/>
      <w:r>
        <w:rPr>
          <w:rFonts w:ascii="Trebuchet MS" w:hAnsi="Trebuchet MS" w:cs="Trebuchet MS"/>
          <w:b/>
          <w:color w:val="000000"/>
          <w:sz w:val="24"/>
          <w:szCs w:val="24"/>
          <w:lang w:val="ro-RO"/>
        </w:rPr>
        <w:t xml:space="preserve"> modificarea și </w:t>
      </w:r>
      <w:r>
        <w:rPr>
          <w:rFonts w:ascii="Trebuchet MS" w:hAnsi="Trebuchet MS" w:cs="Trebuchet MS"/>
          <w:b/>
          <w:sz w:val="24"/>
          <w:szCs w:val="24"/>
          <w:lang w:val="ro-RO"/>
        </w:rPr>
        <w:t>completarea anexei la Ordinul preşedintelui Agenţiei Naţionale de Administrare Fiscală nr.</w:t>
      </w:r>
      <w:r>
        <w:rPr>
          <w:rFonts w:ascii="Trebuchet MS" w:hAnsi="Trebuchet MS" w:cs="Trebuchet MS"/>
          <w:b/>
          <w:sz w:val="24"/>
          <w:szCs w:val="24"/>
        </w:rPr>
        <w:t>2080</w:t>
      </w:r>
      <w:r>
        <w:rPr>
          <w:rFonts w:ascii="Trebuchet MS" w:hAnsi="Trebuchet MS" w:cs="Trebuchet MS"/>
          <w:b/>
          <w:sz w:val="24"/>
          <w:szCs w:val="24"/>
          <w:lang w:val="ro-RO"/>
        </w:rPr>
        <w:t>/202</w:t>
      </w:r>
      <w:r>
        <w:rPr>
          <w:rFonts w:ascii="Trebuchet MS" w:hAnsi="Trebuchet MS" w:cs="Trebuchet MS"/>
          <w:b/>
          <w:sz w:val="24"/>
          <w:szCs w:val="24"/>
        </w:rPr>
        <w:t>3</w:t>
      </w:r>
      <w:r>
        <w:rPr>
          <w:rFonts w:ascii="Trebuchet MS" w:hAnsi="Trebuchet MS" w:cs="Trebuchet MS"/>
          <w:b/>
          <w:sz w:val="24"/>
          <w:szCs w:val="24"/>
          <w:lang w:val="ro-RO"/>
        </w:rPr>
        <w:t xml:space="preserve"> </w:t>
      </w:r>
      <w:proofErr w:type="spellStart"/>
      <w:r>
        <w:rPr>
          <w:rFonts w:ascii="Trebuchet MS" w:hAnsi="Trebuchet MS" w:cs="Trebuchet MS"/>
          <w:b/>
          <w:sz w:val="24"/>
          <w:szCs w:val="24"/>
        </w:rPr>
        <w:t>pentru</w:t>
      </w:r>
      <w:proofErr w:type="spellEnd"/>
      <w:r>
        <w:rPr>
          <w:rFonts w:ascii="Trebuchet MS" w:hAnsi="Trebuchet MS" w:cs="Trebuchet MS"/>
          <w:b/>
          <w:sz w:val="24"/>
          <w:szCs w:val="24"/>
        </w:rPr>
        <w:t xml:space="preserve"> </w:t>
      </w:r>
      <w:proofErr w:type="spellStart"/>
      <w:r>
        <w:rPr>
          <w:rFonts w:ascii="Trebuchet MS" w:hAnsi="Trebuchet MS" w:cs="Trebuchet MS"/>
          <w:b/>
          <w:color w:val="000000"/>
          <w:sz w:val="24"/>
          <w:szCs w:val="24"/>
        </w:rPr>
        <w:t>aprobarea</w:t>
      </w:r>
      <w:proofErr w:type="spellEnd"/>
      <w:r>
        <w:rPr>
          <w:rFonts w:ascii="Trebuchet MS" w:hAnsi="Trebuchet MS" w:cs="Trebuchet MS"/>
          <w:b/>
          <w:color w:val="000000"/>
          <w:sz w:val="24"/>
          <w:szCs w:val="24"/>
        </w:rPr>
        <w:t xml:space="preserve"> </w:t>
      </w:r>
      <w:proofErr w:type="spellStart"/>
      <w:r>
        <w:rPr>
          <w:rFonts w:ascii="Trebuchet MS" w:hAnsi="Trebuchet MS" w:cs="Trebuchet MS"/>
          <w:b/>
          <w:color w:val="000000"/>
          <w:sz w:val="24"/>
          <w:szCs w:val="24"/>
        </w:rPr>
        <w:t>Procedurii</w:t>
      </w:r>
      <w:proofErr w:type="spellEnd"/>
      <w:r>
        <w:rPr>
          <w:rFonts w:ascii="Trebuchet MS" w:hAnsi="Trebuchet MS" w:cs="Trebuchet MS"/>
          <w:b/>
          <w:color w:val="000000"/>
          <w:sz w:val="24"/>
          <w:szCs w:val="24"/>
        </w:rPr>
        <w:t xml:space="preserve"> </w:t>
      </w:r>
      <w:proofErr w:type="spellStart"/>
      <w:r>
        <w:rPr>
          <w:rFonts w:ascii="Trebuchet MS" w:hAnsi="Trebuchet MS" w:cs="Trebuchet MS"/>
          <w:b/>
          <w:color w:val="000000"/>
          <w:sz w:val="24"/>
          <w:szCs w:val="24"/>
        </w:rPr>
        <w:t>privind</w:t>
      </w:r>
      <w:proofErr w:type="spellEnd"/>
      <w:r>
        <w:rPr>
          <w:rFonts w:ascii="Trebuchet MS" w:hAnsi="Trebuchet MS" w:cs="Trebuchet MS"/>
          <w:b/>
          <w:color w:val="000000"/>
          <w:sz w:val="24"/>
          <w:szCs w:val="24"/>
        </w:rPr>
        <w:t xml:space="preserve"> </w:t>
      </w:r>
      <w:proofErr w:type="spellStart"/>
      <w:r>
        <w:rPr>
          <w:rFonts w:ascii="Trebuchet MS" w:hAnsi="Trebuchet MS" w:cs="Trebuchet MS"/>
          <w:b/>
          <w:color w:val="000000"/>
          <w:sz w:val="24"/>
          <w:szCs w:val="24"/>
        </w:rPr>
        <w:t>organizarea</w:t>
      </w:r>
      <w:proofErr w:type="spellEnd"/>
      <w:r>
        <w:rPr>
          <w:rFonts w:ascii="Trebuchet MS" w:hAnsi="Trebuchet MS" w:cs="Trebuchet MS"/>
          <w:b/>
          <w:color w:val="000000"/>
          <w:sz w:val="24"/>
          <w:szCs w:val="24"/>
        </w:rPr>
        <w:t xml:space="preserve"> </w:t>
      </w:r>
      <w:proofErr w:type="spellStart"/>
      <w:r>
        <w:rPr>
          <w:rFonts w:ascii="Trebuchet MS" w:hAnsi="Trebuchet MS" w:cs="Trebuchet MS"/>
          <w:b/>
          <w:color w:val="000000"/>
          <w:sz w:val="24"/>
          <w:szCs w:val="24"/>
        </w:rPr>
        <w:t>Registrului</w:t>
      </w:r>
      <w:proofErr w:type="spellEnd"/>
      <w:r>
        <w:rPr>
          <w:rFonts w:ascii="Trebuchet MS" w:hAnsi="Trebuchet MS" w:cs="Trebuchet MS"/>
          <w:b/>
          <w:color w:val="000000"/>
          <w:sz w:val="24"/>
          <w:szCs w:val="24"/>
        </w:rPr>
        <w:t xml:space="preserve"> </w:t>
      </w:r>
      <w:proofErr w:type="spellStart"/>
      <w:r>
        <w:rPr>
          <w:rFonts w:ascii="Trebuchet MS" w:hAnsi="Trebuchet MS" w:cs="Trebuchet MS"/>
          <w:b/>
          <w:color w:val="000000"/>
          <w:sz w:val="24"/>
          <w:szCs w:val="24"/>
        </w:rPr>
        <w:t>achizițiilor</w:t>
      </w:r>
      <w:proofErr w:type="spellEnd"/>
      <w:r>
        <w:rPr>
          <w:rFonts w:ascii="Trebuchet MS" w:hAnsi="Trebuchet MS" w:cs="Trebuchet MS"/>
          <w:b/>
          <w:color w:val="000000"/>
          <w:sz w:val="24"/>
          <w:szCs w:val="24"/>
        </w:rPr>
        <w:t xml:space="preserve"> de </w:t>
      </w:r>
      <w:proofErr w:type="spellStart"/>
      <w:r>
        <w:rPr>
          <w:rFonts w:ascii="Trebuchet MS" w:hAnsi="Trebuchet MS" w:cs="Trebuchet MS"/>
          <w:b/>
          <w:color w:val="000000"/>
          <w:sz w:val="24"/>
          <w:szCs w:val="24"/>
        </w:rPr>
        <w:t>locuințe</w:t>
      </w:r>
      <w:proofErr w:type="spellEnd"/>
      <w:r>
        <w:rPr>
          <w:rFonts w:ascii="Trebuchet MS" w:hAnsi="Trebuchet MS" w:cs="Trebuchet MS"/>
          <w:b/>
          <w:color w:val="000000"/>
          <w:sz w:val="24"/>
          <w:szCs w:val="24"/>
        </w:rPr>
        <w:t xml:space="preserve"> cu </w:t>
      </w:r>
      <w:proofErr w:type="spellStart"/>
      <w:r>
        <w:rPr>
          <w:rFonts w:ascii="Trebuchet MS" w:hAnsi="Trebuchet MS" w:cs="Trebuchet MS"/>
          <w:b/>
          <w:color w:val="000000"/>
          <w:sz w:val="24"/>
          <w:szCs w:val="24"/>
        </w:rPr>
        <w:t>cota</w:t>
      </w:r>
      <w:proofErr w:type="spellEnd"/>
      <w:r>
        <w:rPr>
          <w:rFonts w:ascii="Trebuchet MS" w:hAnsi="Trebuchet MS" w:cs="Trebuchet MS"/>
          <w:b/>
          <w:color w:val="000000"/>
          <w:sz w:val="24"/>
          <w:szCs w:val="24"/>
        </w:rPr>
        <w:t xml:space="preserve"> </w:t>
      </w:r>
      <w:proofErr w:type="spellStart"/>
      <w:r>
        <w:rPr>
          <w:rFonts w:ascii="Trebuchet MS" w:hAnsi="Trebuchet MS" w:cs="Trebuchet MS"/>
          <w:b/>
          <w:color w:val="000000"/>
          <w:sz w:val="24"/>
          <w:szCs w:val="24"/>
        </w:rPr>
        <w:t>redusă</w:t>
      </w:r>
      <w:proofErr w:type="spellEnd"/>
      <w:r>
        <w:rPr>
          <w:rFonts w:ascii="Trebuchet MS" w:hAnsi="Trebuchet MS" w:cs="Trebuchet MS"/>
          <w:b/>
          <w:color w:val="000000"/>
          <w:sz w:val="24"/>
          <w:szCs w:val="24"/>
        </w:rPr>
        <w:t xml:space="preserve"> de TVA</w:t>
      </w:r>
    </w:p>
    <w:p w:rsidR="00CB1775" w:rsidRDefault="00CB1775">
      <w:pPr>
        <w:spacing w:after="0"/>
        <w:ind w:leftChars="-218" w:left="-480"/>
        <w:rPr>
          <w:rFonts w:ascii="Trebuchet MS" w:hAnsi="Trebuchet MS" w:cs="Arial"/>
          <w:bCs/>
          <w:sz w:val="24"/>
          <w:szCs w:val="24"/>
          <w:lang w:val="ro-RO"/>
        </w:rPr>
      </w:pPr>
      <w:bookmarkStart w:id="0" w:name="_GoBack"/>
      <w:bookmarkEnd w:id="0"/>
    </w:p>
    <w:p w:rsidR="00CB1775" w:rsidRDefault="00C125CF">
      <w:pPr>
        <w:spacing w:beforeLines="50" w:before="120" w:after="0" w:line="260" w:lineRule="auto"/>
        <w:jc w:val="both"/>
        <w:rPr>
          <w:rFonts w:ascii="Trebuchet MS" w:hAnsi="Trebuchet MS"/>
          <w:color w:val="000000" w:themeColor="text1"/>
          <w:sz w:val="24"/>
          <w:szCs w:val="24"/>
          <w:lang w:val="ro-RO"/>
        </w:rPr>
      </w:pPr>
      <w:r>
        <w:rPr>
          <w:rFonts w:ascii="Trebuchet MS" w:hAnsi="Trebuchet MS"/>
          <w:color w:val="000000" w:themeColor="text1"/>
          <w:sz w:val="24"/>
          <w:szCs w:val="24"/>
          <w:lang w:val="ro-RO"/>
        </w:rPr>
        <w:t xml:space="preserve">Prin Legea nr.141/2025 privind unele măsuri fiscal-bugetare, se modifică, începând </w:t>
      </w:r>
      <w:r>
        <w:rPr>
          <w:rFonts w:ascii="Trebuchet MS" w:hAnsi="Trebuchet MS"/>
          <w:color w:val="000000" w:themeColor="text1"/>
          <w:sz w:val="24"/>
          <w:szCs w:val="24"/>
          <w:lang w:val="ro-RO"/>
        </w:rPr>
        <w:t xml:space="preserve">cu data de 1 august 2025, și prevederile Codului fiscal referitoare la aplicarea cotei reduse de TVA pentru livrarea de locuinţe care au o suprafaţă utilă de maximum 120 mp, exclusiv anexele gospodăreşti, a căror valoare, inclusiv a terenului pe care sunt </w:t>
      </w:r>
      <w:r>
        <w:rPr>
          <w:rFonts w:ascii="Trebuchet MS" w:hAnsi="Trebuchet MS"/>
          <w:color w:val="000000" w:themeColor="text1"/>
          <w:sz w:val="24"/>
          <w:szCs w:val="24"/>
          <w:lang w:val="ro-RO"/>
        </w:rPr>
        <w:t>construite, nu depăşeşte suma de 600.000 lei, exclusiv taxa pe valoarea adăugată, achiziţionate de persoane fizice în mod individual sau în comun cu altă persoană fizică/alte persoane fizice.</w:t>
      </w:r>
    </w:p>
    <w:p w:rsidR="00CB1775" w:rsidRDefault="00C125CF">
      <w:pPr>
        <w:spacing w:beforeLines="50" w:before="120" w:after="0" w:line="260" w:lineRule="auto"/>
        <w:jc w:val="both"/>
        <w:rPr>
          <w:rFonts w:ascii="Trebuchet MS" w:hAnsi="Trebuchet MS"/>
          <w:color w:val="000000" w:themeColor="text1"/>
          <w:sz w:val="24"/>
          <w:szCs w:val="24"/>
          <w:lang w:val="ro-RO"/>
        </w:rPr>
      </w:pPr>
      <w:r>
        <w:rPr>
          <w:rFonts w:ascii="Trebuchet MS" w:hAnsi="Trebuchet MS" w:cs="Trebuchet MS"/>
          <w:color w:val="000000" w:themeColor="text1"/>
          <w:sz w:val="24"/>
          <w:szCs w:val="24"/>
          <w:lang w:val="ro-RO"/>
        </w:rPr>
        <w:t>Ca efect al modificărilor care se aduc art.291 alin.(2) lit.m) p</w:t>
      </w:r>
      <w:r>
        <w:rPr>
          <w:rFonts w:ascii="Trebuchet MS" w:hAnsi="Trebuchet MS" w:cs="Trebuchet MS"/>
          <w:color w:val="000000" w:themeColor="text1"/>
          <w:sz w:val="24"/>
          <w:szCs w:val="24"/>
          <w:lang w:val="ro-RO"/>
        </w:rPr>
        <w:t>ct.3 din Codul fiscal, pentru livrarea de locuințe pentru persoanele fizice (pentru care se aplica cota redusă de TVA de 9%) se va aplica cota standard de TVA.</w:t>
      </w:r>
    </w:p>
    <w:p w:rsidR="00CB1775" w:rsidRDefault="00C125CF">
      <w:pPr>
        <w:snapToGrid w:val="0"/>
        <w:spacing w:beforeLines="50" w:before="120" w:after="0" w:line="260" w:lineRule="auto"/>
        <w:jc w:val="both"/>
        <w:rPr>
          <w:rFonts w:ascii="Trebuchet MS" w:hAnsi="Trebuchet MS" w:cs="Trebuchet MS"/>
          <w:color w:val="000000" w:themeColor="text1"/>
          <w:sz w:val="24"/>
          <w:szCs w:val="24"/>
          <w:lang w:val="ro-RO"/>
        </w:rPr>
      </w:pPr>
      <w:r>
        <w:rPr>
          <w:rFonts w:ascii="Trebuchet MS" w:hAnsi="Trebuchet MS" w:cs="Trebuchet MS"/>
          <w:color w:val="000000" w:themeColor="text1"/>
          <w:sz w:val="24"/>
          <w:szCs w:val="24"/>
          <w:lang w:val="ro-RO"/>
        </w:rPr>
        <w:t>De asemenea, din dispozițiile tranzitorii prevăzute la art.III din această lege, rezultă că pers</w:t>
      </w:r>
      <w:r>
        <w:rPr>
          <w:rFonts w:ascii="Trebuchet MS" w:hAnsi="Trebuchet MS" w:cs="Trebuchet MS"/>
          <w:color w:val="000000" w:themeColor="text1"/>
          <w:sz w:val="24"/>
          <w:szCs w:val="24"/>
          <w:lang w:val="ro-RO"/>
        </w:rPr>
        <w:t>oana fizică, în mod individual sau în comun cu altă persoană, poate achiziționa în perioada 1 august 2025 - 31 iulie 2026, inclusiv, o singură locuință cu cota redusă de TVA de 9%, dacă sunt îndeplinite cumulativ următoarele condiții:</w:t>
      </w:r>
    </w:p>
    <w:p w:rsidR="00CB1775" w:rsidRDefault="00C125CF">
      <w:pPr>
        <w:numPr>
          <w:ilvl w:val="0"/>
          <w:numId w:val="1"/>
        </w:numPr>
        <w:snapToGrid w:val="0"/>
        <w:spacing w:beforeLines="50" w:before="120" w:after="0" w:line="260" w:lineRule="auto"/>
        <w:ind w:firstLine="720"/>
        <w:jc w:val="both"/>
        <w:rPr>
          <w:rFonts w:ascii="Trebuchet MS" w:hAnsi="Trebuchet MS"/>
          <w:color w:val="000000" w:themeColor="text1"/>
          <w:sz w:val="24"/>
          <w:szCs w:val="24"/>
          <w:lang w:val="ro-RO"/>
        </w:rPr>
      </w:pPr>
      <w:r>
        <w:rPr>
          <w:rFonts w:ascii="Trebuchet MS" w:hAnsi="Trebuchet MS" w:cs="Trebuchet MS"/>
          <w:color w:val="000000" w:themeColor="text1"/>
          <w:sz w:val="24"/>
          <w:szCs w:val="24"/>
          <w:lang w:val="ro-RO"/>
        </w:rPr>
        <w:t>locuința are o</w:t>
      </w:r>
      <w:r>
        <w:rPr>
          <w:rFonts w:ascii="Trebuchet MS" w:hAnsi="Trebuchet MS"/>
          <w:color w:val="000000" w:themeColor="text1"/>
          <w:sz w:val="24"/>
          <w:szCs w:val="24"/>
          <w:lang w:val="ro-RO"/>
        </w:rPr>
        <w:t xml:space="preserve"> supraf</w:t>
      </w:r>
      <w:r>
        <w:rPr>
          <w:rFonts w:ascii="Trebuchet MS" w:hAnsi="Trebuchet MS"/>
          <w:color w:val="000000" w:themeColor="text1"/>
          <w:sz w:val="24"/>
          <w:szCs w:val="24"/>
          <w:lang w:val="ro-RO"/>
        </w:rPr>
        <w:t>aţă utilă de maximum 120 mp, exclusiv anexele gospodăreşti, a cărei valoare, inclusiv a terenului pe care este construită, care nu depăşeşte suma de 600.000 lei, exclusiv taxa pe valoarea adăugată;</w:t>
      </w:r>
    </w:p>
    <w:p w:rsidR="00CB1775" w:rsidRDefault="00C125CF">
      <w:pPr>
        <w:numPr>
          <w:ilvl w:val="0"/>
          <w:numId w:val="1"/>
        </w:numPr>
        <w:snapToGrid w:val="0"/>
        <w:spacing w:beforeLines="50" w:before="120" w:after="0" w:line="260" w:lineRule="auto"/>
        <w:ind w:firstLine="720"/>
        <w:jc w:val="both"/>
        <w:rPr>
          <w:rFonts w:ascii="Trebuchet MS" w:hAnsi="Trebuchet MS"/>
          <w:color w:val="000000" w:themeColor="text1"/>
          <w:sz w:val="24"/>
          <w:szCs w:val="24"/>
          <w:lang w:val="ro-RO"/>
        </w:rPr>
      </w:pPr>
      <w:r>
        <w:rPr>
          <w:rFonts w:ascii="Trebuchet MS" w:hAnsi="Trebuchet MS"/>
          <w:color w:val="000000" w:themeColor="text1"/>
          <w:sz w:val="24"/>
          <w:szCs w:val="24"/>
          <w:lang w:val="ro-RO"/>
        </w:rPr>
        <w:t>locuința în momentul livrării (nu poate depăși 31 iulie 20</w:t>
      </w:r>
      <w:r>
        <w:rPr>
          <w:rFonts w:ascii="Trebuchet MS" w:hAnsi="Trebuchet MS"/>
          <w:color w:val="000000" w:themeColor="text1"/>
          <w:sz w:val="24"/>
          <w:szCs w:val="24"/>
          <w:lang w:val="ro-RO"/>
        </w:rPr>
        <w:t>26) să poată fi locuită ca atare, conform condițiilor legale în vigoare la data încheierii actelor juridice între vii care au ca obiect plata în avans;</w:t>
      </w:r>
    </w:p>
    <w:p w:rsidR="00CB1775" w:rsidRDefault="00C125CF">
      <w:pPr>
        <w:numPr>
          <w:ilvl w:val="0"/>
          <w:numId w:val="1"/>
        </w:numPr>
        <w:snapToGrid w:val="0"/>
        <w:spacing w:beforeLines="50" w:before="120" w:after="0" w:line="260" w:lineRule="auto"/>
        <w:ind w:firstLine="720"/>
        <w:jc w:val="both"/>
        <w:rPr>
          <w:rFonts w:ascii="Trebuchet MS" w:hAnsi="Trebuchet MS"/>
          <w:color w:val="000000" w:themeColor="text1"/>
          <w:sz w:val="24"/>
          <w:szCs w:val="24"/>
          <w:lang w:val="ro-RO"/>
        </w:rPr>
      </w:pPr>
      <w:r>
        <w:rPr>
          <w:rFonts w:ascii="Trebuchet MS" w:hAnsi="Trebuchet MS"/>
          <w:color w:val="000000" w:themeColor="text1"/>
          <w:sz w:val="24"/>
          <w:szCs w:val="24"/>
          <w:lang w:val="ro-RO"/>
        </w:rPr>
        <w:t>persoana fizică nu a achiziționat o altă locuință cu cota redusă de TVA începând cu data de 1 ianuarie 2</w:t>
      </w:r>
      <w:r>
        <w:rPr>
          <w:rFonts w:ascii="Trebuchet MS" w:hAnsi="Trebuchet MS"/>
          <w:color w:val="000000" w:themeColor="text1"/>
          <w:sz w:val="24"/>
          <w:szCs w:val="24"/>
          <w:lang w:val="ro-RO"/>
        </w:rPr>
        <w:t>023;</w:t>
      </w:r>
    </w:p>
    <w:p w:rsidR="00CB1775" w:rsidRDefault="00C125CF">
      <w:pPr>
        <w:numPr>
          <w:ilvl w:val="0"/>
          <w:numId w:val="1"/>
        </w:numPr>
        <w:snapToGrid w:val="0"/>
        <w:spacing w:beforeLines="50" w:before="120" w:after="0" w:line="260" w:lineRule="auto"/>
        <w:ind w:firstLine="720"/>
        <w:jc w:val="both"/>
        <w:rPr>
          <w:rFonts w:ascii="Trebuchet MS" w:hAnsi="Trebuchet MS"/>
          <w:color w:val="000000" w:themeColor="text1"/>
          <w:sz w:val="24"/>
          <w:szCs w:val="24"/>
          <w:lang w:val="ro-RO"/>
        </w:rPr>
      </w:pPr>
      <w:r>
        <w:rPr>
          <w:rFonts w:ascii="Trebuchet MS" w:hAnsi="Trebuchet MS"/>
          <w:color w:val="000000" w:themeColor="text1"/>
          <w:sz w:val="24"/>
          <w:szCs w:val="24"/>
          <w:lang w:val="ro-RO"/>
        </w:rPr>
        <w:t xml:space="preserve">persoana fizică a încheiat până la 1 august 2025 un act juridic între vii care are ca obiect plata în avans pentru achiziționarea unei astfel de locuințe. </w:t>
      </w:r>
    </w:p>
    <w:p w:rsidR="00CB1775" w:rsidRDefault="00C125CF">
      <w:pPr>
        <w:numPr>
          <w:ilvl w:val="0"/>
          <w:numId w:val="1"/>
        </w:numPr>
        <w:snapToGrid w:val="0"/>
        <w:spacing w:beforeLines="50" w:before="120" w:after="0" w:line="260" w:lineRule="auto"/>
        <w:ind w:firstLine="720"/>
        <w:jc w:val="both"/>
        <w:rPr>
          <w:rFonts w:ascii="Trebuchet MS" w:hAnsi="Trebuchet MS" w:cs="Trebuchet MS"/>
          <w:color w:val="000000" w:themeColor="text1"/>
          <w:sz w:val="24"/>
          <w:szCs w:val="24"/>
          <w:lang w:val="ro-RO"/>
        </w:rPr>
      </w:pPr>
      <w:r>
        <w:rPr>
          <w:rFonts w:ascii="Trebuchet MS" w:hAnsi="Trebuchet MS" w:cs="Trebuchet MS"/>
          <w:color w:val="000000" w:themeColor="text1"/>
          <w:sz w:val="24"/>
          <w:szCs w:val="24"/>
          <w:lang w:val="ro-RO"/>
        </w:rPr>
        <w:t xml:space="preserve">dacă </w:t>
      </w:r>
      <w:r>
        <w:rPr>
          <w:rFonts w:ascii="Trebuchet MS" w:hAnsi="Trebuchet MS"/>
          <w:color w:val="000000" w:themeColor="text1"/>
          <w:sz w:val="24"/>
          <w:szCs w:val="24"/>
          <w:lang w:val="ro-RO"/>
        </w:rPr>
        <w:t>actul juridic între vii care are ca obiect plata în avans a fost încheiat în perioada 3 iu</w:t>
      </w:r>
      <w:r>
        <w:rPr>
          <w:rFonts w:ascii="Trebuchet MS" w:hAnsi="Trebuchet MS"/>
          <w:color w:val="000000" w:themeColor="text1"/>
          <w:sz w:val="24"/>
          <w:szCs w:val="24"/>
          <w:lang w:val="ro-RO"/>
        </w:rPr>
        <w:t xml:space="preserve">lie - 31 iulie 2025, la data livrării locuinței persoana fizică trebuie să facă dovada achitării unui avans de 20% din valoarea locuinței exclusiv TVA, achitat integral până la data de 31 iulie 2025, inclusiv. </w:t>
      </w:r>
    </w:p>
    <w:p w:rsidR="00CB1775" w:rsidRDefault="00C125CF">
      <w:pPr>
        <w:snapToGrid w:val="0"/>
        <w:spacing w:beforeLines="50" w:before="120" w:after="0"/>
        <w:jc w:val="both"/>
        <w:rPr>
          <w:rFonts w:ascii="Trebuchet MS" w:hAnsi="Trebuchet MS"/>
          <w:color w:val="000000" w:themeColor="text1"/>
          <w:sz w:val="24"/>
          <w:szCs w:val="24"/>
          <w:lang w:val="ro-RO"/>
        </w:rPr>
      </w:pPr>
      <w:r>
        <w:rPr>
          <w:rFonts w:ascii="Trebuchet MS" w:hAnsi="Trebuchet MS"/>
          <w:color w:val="000000" w:themeColor="text1"/>
          <w:sz w:val="24"/>
          <w:szCs w:val="24"/>
          <w:lang w:val="ro-RO"/>
        </w:rPr>
        <w:t>Informațiile din actele juridice între vii ca</w:t>
      </w:r>
      <w:r>
        <w:rPr>
          <w:rFonts w:ascii="Trebuchet MS" w:hAnsi="Trebuchet MS"/>
          <w:color w:val="000000" w:themeColor="text1"/>
          <w:sz w:val="24"/>
          <w:szCs w:val="24"/>
          <w:lang w:val="ro-RO"/>
        </w:rPr>
        <w:t>re au ca obiect transferul dreptului de proprietate, în condițiile prevăzute la art.III din Legea nr.141/2025 privind unele măsuri fiscal-bugetare, trebuie înscrise de către notarii publici în "</w:t>
      </w:r>
      <w:r>
        <w:rPr>
          <w:rFonts w:ascii="Trebuchet MS" w:hAnsi="Trebuchet MS"/>
          <w:i/>
          <w:iCs/>
          <w:color w:val="000000" w:themeColor="text1"/>
          <w:sz w:val="24"/>
          <w:szCs w:val="24"/>
          <w:lang w:val="ro-RO"/>
        </w:rPr>
        <w:t>Registrul achizițiilor de locuințe cu cota redusă de TVA</w:t>
      </w:r>
      <w:r>
        <w:rPr>
          <w:rFonts w:ascii="Trebuchet MS" w:hAnsi="Trebuchet MS"/>
          <w:color w:val="000000" w:themeColor="text1"/>
          <w:sz w:val="24"/>
          <w:szCs w:val="24"/>
          <w:lang w:val="ro-RO"/>
        </w:rPr>
        <w:t xml:space="preserve">". </w:t>
      </w:r>
      <w:r>
        <w:rPr>
          <w:rFonts w:ascii="Trebuchet MS" w:hAnsi="Trebuchet MS"/>
          <w:color w:val="000000" w:themeColor="text1"/>
          <w:sz w:val="24"/>
          <w:szCs w:val="24"/>
          <w:lang w:val="ro-RO"/>
        </w:rPr>
        <w:t>Aceste informații sunt utilizate de notarii publici pentru a putea verifica condiția potrivit căreia o persoană fizică poate achiziționa o singură locuință cu cota redusă de TVA.</w:t>
      </w:r>
    </w:p>
    <w:p w:rsidR="00CB1775" w:rsidRDefault="00C125CF">
      <w:pPr>
        <w:snapToGrid w:val="0"/>
        <w:spacing w:beforeLines="50" w:before="120" w:after="0"/>
        <w:jc w:val="both"/>
        <w:rPr>
          <w:rFonts w:ascii="Times New Roman CE" w:eastAsia="Times New Roman CE" w:hAnsi="Times New Roman CE"/>
          <w:color w:val="000000" w:themeColor="text1"/>
          <w:sz w:val="28"/>
          <w:szCs w:val="24"/>
          <w:lang w:val="ro-RO"/>
        </w:rPr>
      </w:pPr>
      <w:r>
        <w:rPr>
          <w:rFonts w:ascii="Trebuchet MS" w:hAnsi="Trebuchet MS" w:cs="Trebuchet MS"/>
          <w:color w:val="000000" w:themeColor="text1"/>
          <w:sz w:val="24"/>
          <w:szCs w:val="24"/>
          <w:lang w:val="ro-RO"/>
        </w:rPr>
        <w:lastRenderedPageBreak/>
        <w:t xml:space="preserve">Precizăm că </w:t>
      </w:r>
      <w:r>
        <w:rPr>
          <w:rFonts w:ascii="Trebuchet MS" w:eastAsia="Times New Roman CE" w:hAnsi="Trebuchet MS" w:cs="Trebuchet MS"/>
          <w:i/>
          <w:color w:val="000000" w:themeColor="text1"/>
          <w:sz w:val="24"/>
          <w:szCs w:val="24"/>
        </w:rPr>
        <w:t>"</w:t>
      </w:r>
      <w:proofErr w:type="spellStart"/>
      <w:r>
        <w:rPr>
          <w:rFonts w:ascii="Trebuchet MS" w:eastAsia="Times New Roman CE" w:hAnsi="Trebuchet MS" w:cs="Trebuchet MS"/>
          <w:i/>
          <w:color w:val="000000" w:themeColor="text1"/>
          <w:sz w:val="24"/>
          <w:szCs w:val="24"/>
        </w:rPr>
        <w:t>Registrul</w:t>
      </w:r>
      <w:proofErr w:type="spellEnd"/>
      <w:r>
        <w:rPr>
          <w:rFonts w:ascii="Trebuchet MS" w:eastAsia="Times New Roman CE" w:hAnsi="Trebuchet MS" w:cs="Trebuchet MS"/>
          <w:i/>
          <w:color w:val="000000" w:themeColor="text1"/>
          <w:sz w:val="24"/>
          <w:szCs w:val="24"/>
        </w:rPr>
        <w:t xml:space="preserve"> </w:t>
      </w:r>
      <w:proofErr w:type="spellStart"/>
      <w:r>
        <w:rPr>
          <w:rFonts w:ascii="Trebuchet MS" w:eastAsia="Times New Roman CE" w:hAnsi="Trebuchet MS" w:cs="Trebuchet MS"/>
          <w:i/>
          <w:color w:val="000000" w:themeColor="text1"/>
          <w:sz w:val="24"/>
          <w:szCs w:val="24"/>
        </w:rPr>
        <w:t>achiziţiilor</w:t>
      </w:r>
      <w:proofErr w:type="spellEnd"/>
      <w:r>
        <w:rPr>
          <w:rFonts w:ascii="Trebuchet MS" w:eastAsia="Times New Roman CE" w:hAnsi="Trebuchet MS" w:cs="Trebuchet MS"/>
          <w:i/>
          <w:color w:val="000000" w:themeColor="text1"/>
          <w:sz w:val="24"/>
          <w:szCs w:val="24"/>
        </w:rPr>
        <w:t xml:space="preserve"> de </w:t>
      </w:r>
      <w:proofErr w:type="spellStart"/>
      <w:r>
        <w:rPr>
          <w:rFonts w:ascii="Trebuchet MS" w:eastAsia="Times New Roman CE" w:hAnsi="Trebuchet MS" w:cs="Trebuchet MS"/>
          <w:i/>
          <w:color w:val="000000" w:themeColor="text1"/>
          <w:sz w:val="24"/>
          <w:szCs w:val="24"/>
        </w:rPr>
        <w:t>locuinţe</w:t>
      </w:r>
      <w:proofErr w:type="spellEnd"/>
      <w:r>
        <w:rPr>
          <w:rFonts w:ascii="Trebuchet MS" w:eastAsia="Times New Roman CE" w:hAnsi="Trebuchet MS" w:cs="Trebuchet MS"/>
          <w:i/>
          <w:color w:val="000000" w:themeColor="text1"/>
          <w:sz w:val="24"/>
          <w:szCs w:val="24"/>
        </w:rPr>
        <w:t xml:space="preserve"> cu </w:t>
      </w:r>
      <w:proofErr w:type="spellStart"/>
      <w:r>
        <w:rPr>
          <w:rFonts w:ascii="Trebuchet MS" w:eastAsia="Times New Roman CE" w:hAnsi="Trebuchet MS" w:cs="Trebuchet MS"/>
          <w:i/>
          <w:color w:val="000000" w:themeColor="text1"/>
          <w:sz w:val="24"/>
          <w:szCs w:val="24"/>
        </w:rPr>
        <w:t>cota</w:t>
      </w:r>
      <w:proofErr w:type="spellEnd"/>
      <w:r>
        <w:rPr>
          <w:rFonts w:ascii="Trebuchet MS" w:eastAsia="Times New Roman CE" w:hAnsi="Trebuchet MS" w:cs="Trebuchet MS"/>
          <w:i/>
          <w:color w:val="000000" w:themeColor="text1"/>
          <w:sz w:val="24"/>
          <w:szCs w:val="24"/>
        </w:rPr>
        <w:t xml:space="preserve"> </w:t>
      </w:r>
      <w:proofErr w:type="spellStart"/>
      <w:r>
        <w:rPr>
          <w:rFonts w:ascii="Trebuchet MS" w:eastAsia="Times New Roman CE" w:hAnsi="Trebuchet MS" w:cs="Trebuchet MS"/>
          <w:i/>
          <w:color w:val="000000" w:themeColor="text1"/>
          <w:sz w:val="24"/>
          <w:szCs w:val="24"/>
        </w:rPr>
        <w:t>redusă</w:t>
      </w:r>
      <w:proofErr w:type="spellEnd"/>
      <w:r>
        <w:rPr>
          <w:rFonts w:ascii="Trebuchet MS" w:eastAsia="Times New Roman CE" w:hAnsi="Trebuchet MS" w:cs="Trebuchet MS"/>
          <w:i/>
          <w:color w:val="000000" w:themeColor="text1"/>
          <w:sz w:val="24"/>
          <w:szCs w:val="24"/>
        </w:rPr>
        <w:t xml:space="preserve"> de TVA"</w:t>
      </w:r>
      <w:r>
        <w:rPr>
          <w:rFonts w:ascii="Trebuchet MS" w:eastAsia="Times New Roman CE" w:hAnsi="Trebuchet MS" w:cs="Trebuchet MS"/>
          <w:iCs/>
          <w:color w:val="000000" w:themeColor="text1"/>
          <w:sz w:val="24"/>
          <w:szCs w:val="24"/>
          <w:lang w:val="ro-RO"/>
        </w:rPr>
        <w:t xml:space="preserve"> a fost</w:t>
      </w:r>
      <w:r>
        <w:rPr>
          <w:rFonts w:ascii="Trebuchet MS" w:eastAsia="Times New Roman CE" w:hAnsi="Trebuchet MS" w:cs="Trebuchet MS"/>
          <w:iCs/>
          <w:color w:val="000000" w:themeColor="text1"/>
          <w:sz w:val="24"/>
          <w:szCs w:val="24"/>
          <w:lang w:val="ro-RO"/>
        </w:rPr>
        <w:t xml:space="preserve"> organizat de </w:t>
      </w:r>
      <w:r>
        <w:rPr>
          <w:rFonts w:ascii="Trebuchet MS" w:hAnsi="Trebuchet MS" w:cs="Trebuchet MS"/>
          <w:color w:val="000000" w:themeColor="text1"/>
          <w:sz w:val="24"/>
          <w:szCs w:val="24"/>
          <w:lang w:val="ro-RO"/>
        </w:rPr>
        <w:t xml:space="preserve">Agenția Națională de Administrare Fiscală, potrivit procedurii aprobate prin </w:t>
      </w:r>
      <w:proofErr w:type="spellStart"/>
      <w:r>
        <w:rPr>
          <w:rFonts w:ascii="Trebuchet MS" w:hAnsi="Trebuchet MS" w:cs="Trebuchet MS"/>
          <w:color w:val="000000" w:themeColor="text1"/>
          <w:sz w:val="24"/>
          <w:szCs w:val="24"/>
        </w:rPr>
        <w:t>Ordinul</w:t>
      </w:r>
      <w:proofErr w:type="spellEnd"/>
      <w:r>
        <w:rPr>
          <w:rFonts w:ascii="Trebuchet MS" w:hAnsi="Trebuchet MS" w:cs="Trebuchet MS"/>
          <w:color w:val="000000" w:themeColor="text1"/>
          <w:sz w:val="24"/>
          <w:szCs w:val="24"/>
        </w:rPr>
        <w:t xml:space="preserve"> </w:t>
      </w:r>
      <w:proofErr w:type="spellStart"/>
      <w:r>
        <w:rPr>
          <w:rFonts w:ascii="Trebuchet MS" w:hAnsi="Trebuchet MS" w:cs="Trebuchet MS"/>
          <w:color w:val="000000" w:themeColor="text1"/>
          <w:sz w:val="24"/>
          <w:szCs w:val="24"/>
        </w:rPr>
        <w:t>preşedintelui</w:t>
      </w:r>
      <w:proofErr w:type="spellEnd"/>
      <w:r>
        <w:rPr>
          <w:rFonts w:ascii="Trebuchet MS" w:hAnsi="Trebuchet MS" w:cs="Trebuchet MS"/>
          <w:color w:val="000000" w:themeColor="text1"/>
          <w:sz w:val="24"/>
          <w:szCs w:val="24"/>
        </w:rPr>
        <w:t xml:space="preserve"> </w:t>
      </w:r>
      <w:proofErr w:type="spellStart"/>
      <w:r>
        <w:rPr>
          <w:rFonts w:ascii="Trebuchet MS" w:hAnsi="Trebuchet MS" w:cs="Trebuchet MS"/>
          <w:color w:val="000000" w:themeColor="text1"/>
          <w:sz w:val="24"/>
          <w:szCs w:val="24"/>
        </w:rPr>
        <w:t>Agenţiei</w:t>
      </w:r>
      <w:proofErr w:type="spellEnd"/>
      <w:r>
        <w:rPr>
          <w:rFonts w:ascii="Trebuchet MS" w:hAnsi="Trebuchet MS" w:cs="Trebuchet MS"/>
          <w:color w:val="000000" w:themeColor="text1"/>
          <w:sz w:val="24"/>
          <w:szCs w:val="24"/>
        </w:rPr>
        <w:t xml:space="preserve"> </w:t>
      </w:r>
      <w:proofErr w:type="spellStart"/>
      <w:r>
        <w:rPr>
          <w:rFonts w:ascii="Trebuchet MS" w:hAnsi="Trebuchet MS" w:cs="Trebuchet MS"/>
          <w:color w:val="000000" w:themeColor="text1"/>
          <w:sz w:val="24"/>
          <w:szCs w:val="24"/>
        </w:rPr>
        <w:t>Naţionale</w:t>
      </w:r>
      <w:proofErr w:type="spellEnd"/>
      <w:r>
        <w:rPr>
          <w:rFonts w:ascii="Trebuchet MS" w:hAnsi="Trebuchet MS" w:cs="Trebuchet MS"/>
          <w:color w:val="000000" w:themeColor="text1"/>
          <w:sz w:val="24"/>
          <w:szCs w:val="24"/>
        </w:rPr>
        <w:t xml:space="preserve"> de </w:t>
      </w:r>
      <w:proofErr w:type="spellStart"/>
      <w:r>
        <w:rPr>
          <w:rFonts w:ascii="Trebuchet MS" w:hAnsi="Trebuchet MS" w:cs="Trebuchet MS"/>
          <w:color w:val="000000" w:themeColor="text1"/>
          <w:sz w:val="24"/>
          <w:szCs w:val="24"/>
        </w:rPr>
        <w:t>Administrare</w:t>
      </w:r>
      <w:proofErr w:type="spellEnd"/>
      <w:r>
        <w:rPr>
          <w:rFonts w:ascii="Trebuchet MS" w:hAnsi="Trebuchet MS" w:cs="Trebuchet MS"/>
          <w:color w:val="000000" w:themeColor="text1"/>
          <w:sz w:val="24"/>
          <w:szCs w:val="24"/>
        </w:rPr>
        <w:t xml:space="preserve"> </w:t>
      </w:r>
      <w:proofErr w:type="spellStart"/>
      <w:r>
        <w:rPr>
          <w:rFonts w:ascii="Trebuchet MS" w:hAnsi="Trebuchet MS" w:cs="Trebuchet MS"/>
          <w:color w:val="000000" w:themeColor="text1"/>
          <w:sz w:val="24"/>
          <w:szCs w:val="24"/>
        </w:rPr>
        <w:t>Fiscală</w:t>
      </w:r>
      <w:proofErr w:type="spellEnd"/>
      <w:r>
        <w:rPr>
          <w:rFonts w:ascii="Trebuchet MS" w:hAnsi="Trebuchet MS" w:cs="Trebuchet MS"/>
          <w:color w:val="000000" w:themeColor="text1"/>
          <w:sz w:val="24"/>
          <w:szCs w:val="24"/>
        </w:rPr>
        <w:t xml:space="preserve"> nr.2080/2023</w:t>
      </w:r>
      <w:r>
        <w:rPr>
          <w:rFonts w:ascii="Trebuchet MS" w:hAnsi="Trebuchet MS" w:cs="Trebuchet MS"/>
          <w:color w:val="000000" w:themeColor="text1"/>
          <w:sz w:val="24"/>
          <w:szCs w:val="24"/>
          <w:lang w:val="ro-RO"/>
        </w:rPr>
        <w:t>,</w:t>
      </w:r>
      <w:r>
        <w:rPr>
          <w:rFonts w:ascii="Trebuchet MS" w:hAnsi="Trebuchet MS" w:cs="Trebuchet MS"/>
          <w:color w:val="000000" w:themeColor="text1"/>
          <w:sz w:val="24"/>
          <w:szCs w:val="24"/>
          <w:lang w:val="ro-RO"/>
        </w:rPr>
        <w:t xml:space="preserve"> în temeiul</w:t>
      </w:r>
      <w:r>
        <w:rPr>
          <w:rFonts w:ascii="Trebuchet MS" w:hAnsi="Trebuchet MS" w:cs="Trebuchet MS"/>
          <w:color w:val="000000" w:themeColor="text1"/>
          <w:sz w:val="24"/>
          <w:szCs w:val="24"/>
        </w:rPr>
        <w:t xml:space="preserve"> </w:t>
      </w:r>
      <w:proofErr w:type="spellStart"/>
      <w:r>
        <w:rPr>
          <w:rFonts w:ascii="Trebuchet MS" w:hAnsi="Trebuchet MS" w:cs="Trebuchet MS"/>
          <w:color w:val="000000" w:themeColor="text1"/>
          <w:sz w:val="24"/>
          <w:szCs w:val="24"/>
        </w:rPr>
        <w:t>dispozițiilor</w:t>
      </w:r>
      <w:proofErr w:type="spellEnd"/>
      <w:r>
        <w:rPr>
          <w:rFonts w:ascii="Trebuchet MS" w:hAnsi="Trebuchet MS" w:cs="Trebuchet MS"/>
          <w:color w:val="000000" w:themeColor="text1"/>
          <w:sz w:val="24"/>
          <w:szCs w:val="24"/>
        </w:rPr>
        <w:t xml:space="preserve"> art.291 din </w:t>
      </w:r>
      <w:proofErr w:type="spellStart"/>
      <w:r>
        <w:rPr>
          <w:rFonts w:ascii="Trebuchet MS" w:hAnsi="Trebuchet MS" w:cs="Trebuchet MS"/>
          <w:color w:val="000000" w:themeColor="text1"/>
          <w:sz w:val="24"/>
          <w:szCs w:val="24"/>
        </w:rPr>
        <w:t>Legea</w:t>
      </w:r>
      <w:proofErr w:type="spellEnd"/>
      <w:r>
        <w:rPr>
          <w:rFonts w:ascii="Trebuchet MS" w:hAnsi="Trebuchet MS" w:cs="Trebuchet MS"/>
          <w:color w:val="000000" w:themeColor="text1"/>
          <w:sz w:val="24"/>
          <w:szCs w:val="24"/>
        </w:rPr>
        <w:t xml:space="preserve"> nr.227/2015 </w:t>
      </w:r>
      <w:proofErr w:type="spellStart"/>
      <w:r>
        <w:rPr>
          <w:rFonts w:ascii="Trebuchet MS" w:hAnsi="Trebuchet MS" w:cs="Trebuchet MS"/>
          <w:color w:val="000000" w:themeColor="text1"/>
          <w:sz w:val="24"/>
          <w:szCs w:val="24"/>
        </w:rPr>
        <w:t>privind</w:t>
      </w:r>
      <w:proofErr w:type="spellEnd"/>
      <w:r>
        <w:rPr>
          <w:rFonts w:ascii="Trebuchet MS" w:hAnsi="Trebuchet MS" w:cs="Trebuchet MS"/>
          <w:color w:val="000000" w:themeColor="text1"/>
          <w:sz w:val="24"/>
          <w:szCs w:val="24"/>
        </w:rPr>
        <w:t xml:space="preserve"> </w:t>
      </w:r>
      <w:proofErr w:type="spellStart"/>
      <w:r>
        <w:rPr>
          <w:rFonts w:ascii="Trebuchet MS" w:hAnsi="Trebuchet MS" w:cs="Trebuchet MS"/>
          <w:color w:val="000000" w:themeColor="text1"/>
          <w:sz w:val="24"/>
          <w:szCs w:val="24"/>
        </w:rPr>
        <w:t>Codul</w:t>
      </w:r>
      <w:proofErr w:type="spellEnd"/>
      <w:r>
        <w:rPr>
          <w:rFonts w:ascii="Trebuchet MS" w:hAnsi="Trebuchet MS" w:cs="Trebuchet MS"/>
          <w:color w:val="000000" w:themeColor="text1"/>
          <w:sz w:val="24"/>
          <w:szCs w:val="24"/>
        </w:rPr>
        <w:t xml:space="preserve"> fiscal, cu </w:t>
      </w:r>
      <w:proofErr w:type="spellStart"/>
      <w:r>
        <w:rPr>
          <w:rFonts w:ascii="Trebuchet MS" w:hAnsi="Trebuchet MS" w:cs="Trebuchet MS"/>
          <w:color w:val="000000" w:themeColor="text1"/>
          <w:sz w:val="24"/>
          <w:szCs w:val="24"/>
        </w:rPr>
        <w:t>modificările</w:t>
      </w:r>
      <w:proofErr w:type="spellEnd"/>
      <w:r>
        <w:rPr>
          <w:rFonts w:ascii="Trebuchet MS" w:hAnsi="Trebuchet MS" w:cs="Trebuchet MS"/>
          <w:color w:val="000000" w:themeColor="text1"/>
          <w:sz w:val="24"/>
          <w:szCs w:val="24"/>
        </w:rPr>
        <w:t xml:space="preserve"> </w:t>
      </w:r>
      <w:proofErr w:type="spellStart"/>
      <w:r>
        <w:rPr>
          <w:rFonts w:ascii="Trebuchet MS" w:hAnsi="Trebuchet MS" w:cs="Trebuchet MS"/>
          <w:color w:val="000000" w:themeColor="text1"/>
          <w:sz w:val="24"/>
          <w:szCs w:val="24"/>
        </w:rPr>
        <w:t>și</w:t>
      </w:r>
      <w:proofErr w:type="spellEnd"/>
      <w:r>
        <w:rPr>
          <w:rFonts w:ascii="Trebuchet MS" w:hAnsi="Trebuchet MS" w:cs="Trebuchet MS"/>
          <w:color w:val="000000" w:themeColor="text1"/>
          <w:sz w:val="24"/>
          <w:szCs w:val="24"/>
        </w:rPr>
        <w:t xml:space="preserve"> </w:t>
      </w:r>
      <w:proofErr w:type="spellStart"/>
      <w:r>
        <w:rPr>
          <w:rFonts w:ascii="Trebuchet MS" w:hAnsi="Trebuchet MS" w:cs="Trebuchet MS"/>
          <w:color w:val="000000" w:themeColor="text1"/>
          <w:sz w:val="24"/>
          <w:szCs w:val="24"/>
        </w:rPr>
        <w:t>completările</w:t>
      </w:r>
      <w:proofErr w:type="spellEnd"/>
      <w:r>
        <w:rPr>
          <w:rFonts w:ascii="Trebuchet MS" w:hAnsi="Trebuchet MS" w:cs="Trebuchet MS"/>
          <w:color w:val="000000" w:themeColor="text1"/>
          <w:sz w:val="24"/>
          <w:szCs w:val="24"/>
        </w:rPr>
        <w:t xml:space="preserve"> </w:t>
      </w:r>
      <w:proofErr w:type="spellStart"/>
      <w:r>
        <w:rPr>
          <w:rFonts w:ascii="Trebuchet MS" w:hAnsi="Trebuchet MS" w:cs="Trebuchet MS"/>
          <w:color w:val="000000" w:themeColor="text1"/>
          <w:sz w:val="24"/>
          <w:szCs w:val="24"/>
        </w:rPr>
        <w:t>ulterioare</w:t>
      </w:r>
      <w:proofErr w:type="spellEnd"/>
      <w:r>
        <w:rPr>
          <w:rFonts w:ascii="Trebuchet MS" w:hAnsi="Trebuchet MS" w:cs="Trebuchet MS"/>
          <w:color w:val="000000" w:themeColor="text1"/>
          <w:sz w:val="24"/>
          <w:szCs w:val="24"/>
          <w:lang w:val="ro-RO"/>
        </w:rPr>
        <w:t>, prin preluarea și a informațiilor înscrise în ”</w:t>
      </w:r>
      <w:proofErr w:type="spellStart"/>
      <w:r>
        <w:rPr>
          <w:rFonts w:ascii="Trebuchet MS" w:eastAsia="Times New Roman CE" w:hAnsi="Trebuchet MS" w:cs="Trebuchet MS"/>
          <w:i/>
          <w:color w:val="000000" w:themeColor="text1"/>
          <w:sz w:val="24"/>
          <w:szCs w:val="24"/>
        </w:rPr>
        <w:t>Registrul</w:t>
      </w:r>
      <w:proofErr w:type="spellEnd"/>
      <w:r>
        <w:rPr>
          <w:rFonts w:ascii="Trebuchet MS" w:eastAsia="Times New Roman CE" w:hAnsi="Trebuchet MS" w:cs="Trebuchet MS"/>
          <w:i/>
          <w:color w:val="000000" w:themeColor="text1"/>
          <w:sz w:val="24"/>
          <w:szCs w:val="24"/>
        </w:rPr>
        <w:t xml:space="preserve"> </w:t>
      </w:r>
      <w:proofErr w:type="spellStart"/>
      <w:r>
        <w:rPr>
          <w:rFonts w:ascii="Trebuchet MS" w:eastAsia="Times New Roman CE" w:hAnsi="Trebuchet MS" w:cs="Trebuchet MS"/>
          <w:i/>
          <w:color w:val="000000" w:themeColor="text1"/>
          <w:sz w:val="24"/>
          <w:szCs w:val="24"/>
        </w:rPr>
        <w:t>achiziţiilor</w:t>
      </w:r>
      <w:proofErr w:type="spellEnd"/>
      <w:r>
        <w:rPr>
          <w:rFonts w:ascii="Trebuchet MS" w:eastAsia="Times New Roman CE" w:hAnsi="Trebuchet MS" w:cs="Trebuchet MS"/>
          <w:i/>
          <w:color w:val="000000" w:themeColor="text1"/>
          <w:sz w:val="24"/>
          <w:szCs w:val="24"/>
        </w:rPr>
        <w:t xml:space="preserve"> de </w:t>
      </w:r>
      <w:proofErr w:type="spellStart"/>
      <w:r>
        <w:rPr>
          <w:rFonts w:ascii="Trebuchet MS" w:eastAsia="Times New Roman CE" w:hAnsi="Trebuchet MS" w:cs="Trebuchet MS"/>
          <w:i/>
          <w:color w:val="000000" w:themeColor="text1"/>
          <w:sz w:val="24"/>
          <w:szCs w:val="24"/>
        </w:rPr>
        <w:t>locuinţe</w:t>
      </w:r>
      <w:proofErr w:type="spellEnd"/>
      <w:r>
        <w:rPr>
          <w:rFonts w:ascii="Trebuchet MS" w:eastAsia="Times New Roman CE" w:hAnsi="Trebuchet MS" w:cs="Trebuchet MS"/>
          <w:i/>
          <w:color w:val="000000" w:themeColor="text1"/>
          <w:sz w:val="24"/>
          <w:szCs w:val="24"/>
        </w:rPr>
        <w:t xml:space="preserve"> cu </w:t>
      </w:r>
      <w:proofErr w:type="spellStart"/>
      <w:r>
        <w:rPr>
          <w:rFonts w:ascii="Trebuchet MS" w:eastAsia="Times New Roman CE" w:hAnsi="Trebuchet MS" w:cs="Trebuchet MS"/>
          <w:i/>
          <w:color w:val="000000" w:themeColor="text1"/>
          <w:sz w:val="24"/>
          <w:szCs w:val="24"/>
        </w:rPr>
        <w:t>cota</w:t>
      </w:r>
      <w:proofErr w:type="spellEnd"/>
      <w:r>
        <w:rPr>
          <w:rFonts w:ascii="Trebuchet MS" w:eastAsia="Times New Roman CE" w:hAnsi="Trebuchet MS" w:cs="Trebuchet MS"/>
          <w:i/>
          <w:color w:val="000000" w:themeColor="text1"/>
          <w:sz w:val="24"/>
          <w:szCs w:val="24"/>
        </w:rPr>
        <w:t xml:space="preserve"> </w:t>
      </w:r>
      <w:proofErr w:type="spellStart"/>
      <w:r>
        <w:rPr>
          <w:rFonts w:ascii="Trebuchet MS" w:eastAsia="Times New Roman CE" w:hAnsi="Trebuchet MS" w:cs="Trebuchet MS"/>
          <w:i/>
          <w:color w:val="000000" w:themeColor="text1"/>
          <w:sz w:val="24"/>
          <w:szCs w:val="24"/>
        </w:rPr>
        <w:t>redusă</w:t>
      </w:r>
      <w:proofErr w:type="spellEnd"/>
      <w:r>
        <w:rPr>
          <w:rFonts w:ascii="Trebuchet MS" w:eastAsia="Times New Roman CE" w:hAnsi="Trebuchet MS" w:cs="Trebuchet MS"/>
          <w:i/>
          <w:color w:val="000000" w:themeColor="text1"/>
          <w:sz w:val="24"/>
          <w:szCs w:val="24"/>
        </w:rPr>
        <w:t xml:space="preserve"> de TVA</w:t>
      </w:r>
      <w:r>
        <w:rPr>
          <w:rFonts w:ascii="Trebuchet MS" w:eastAsia="Times New Roman CE" w:hAnsi="Trebuchet MS" w:cs="Trebuchet MS"/>
          <w:i/>
          <w:color w:val="000000" w:themeColor="text1"/>
          <w:sz w:val="24"/>
          <w:szCs w:val="24"/>
          <w:lang w:val="ro-RO"/>
        </w:rPr>
        <w:t xml:space="preserve"> de 5%, începând cu 1 ianuarie 2023”.</w:t>
      </w:r>
    </w:p>
    <w:p w:rsidR="00CB1775" w:rsidRDefault="00C125CF">
      <w:pPr>
        <w:spacing w:beforeLines="50" w:before="120" w:line="240" w:lineRule="auto"/>
        <w:jc w:val="both"/>
        <w:rPr>
          <w:rFonts w:ascii="Trebuchet MS" w:eastAsia="Times New Roman CE" w:hAnsi="Trebuchet MS" w:cs="Trebuchet MS"/>
          <w:color w:val="000000" w:themeColor="text1"/>
          <w:sz w:val="24"/>
          <w:szCs w:val="24"/>
          <w:lang w:val="ro-RO"/>
        </w:rPr>
      </w:pPr>
      <w:r>
        <w:rPr>
          <w:rFonts w:ascii="Trebuchet MS" w:eastAsia="Times New Roman CE" w:hAnsi="Trebuchet MS"/>
          <w:color w:val="000000" w:themeColor="text1"/>
          <w:sz w:val="24"/>
          <w:szCs w:val="24"/>
          <w:lang w:val="ro-RO"/>
        </w:rPr>
        <w:t>Registrul este organizat în format electronic şi este gestionat cu ajutorul aplicaţiei informatice puse la dispoziţie de Centrul Naţional pentru Informaţii Financiare din cadrul Ministerului Finanţelor și se completează de către notarii publici.</w:t>
      </w:r>
    </w:p>
    <w:p w:rsidR="00CB1775" w:rsidRDefault="00C125CF">
      <w:pPr>
        <w:spacing w:beforeLines="100" w:before="240" w:line="240" w:lineRule="auto"/>
        <w:jc w:val="both"/>
        <w:rPr>
          <w:rFonts w:ascii="Trebuchet MS" w:hAnsi="Trebuchet MS"/>
          <w:color w:val="000000" w:themeColor="text1"/>
          <w:sz w:val="24"/>
          <w:szCs w:val="24"/>
          <w:lang w:val="ro-RO"/>
        </w:rPr>
      </w:pPr>
      <w:r>
        <w:rPr>
          <w:rFonts w:ascii="Trebuchet MS" w:hAnsi="Trebuchet MS" w:cs="Trebuchet MS"/>
          <w:color w:val="000000" w:themeColor="text1"/>
          <w:sz w:val="24"/>
          <w:szCs w:val="24"/>
          <w:lang w:val="ro-RO"/>
        </w:rPr>
        <w:t xml:space="preserve">Pentru implementarea prevederilor art.III din Legea nr.141 </w:t>
      </w:r>
      <w:r>
        <w:rPr>
          <w:rFonts w:ascii="Trebuchet MS" w:hAnsi="Trebuchet MS"/>
          <w:color w:val="000000" w:themeColor="text1"/>
          <w:sz w:val="24"/>
          <w:szCs w:val="24"/>
          <w:lang w:val="ro-RO"/>
        </w:rPr>
        <w:t xml:space="preserve">privind unele măsuri fiscal-bugetare, este necesară completarea procedurii de organizare a registrului, prin introducerea unor precizări privind modul de completare a acestuia în perioada 1 august </w:t>
      </w:r>
      <w:r>
        <w:rPr>
          <w:rFonts w:ascii="Trebuchet MS" w:hAnsi="Trebuchet MS"/>
          <w:color w:val="000000" w:themeColor="text1"/>
          <w:sz w:val="24"/>
          <w:szCs w:val="24"/>
          <w:lang w:val="ro-RO"/>
        </w:rPr>
        <w:t>2025-31 iulie 2026.</w:t>
      </w:r>
    </w:p>
    <w:p w:rsidR="00CB1775" w:rsidRDefault="00C125CF">
      <w:pPr>
        <w:spacing w:beforeLines="100" w:before="240" w:line="240" w:lineRule="auto"/>
        <w:jc w:val="both"/>
        <w:rPr>
          <w:rFonts w:ascii="Trebuchet MS" w:hAnsi="Trebuchet MS"/>
          <w:color w:val="000000" w:themeColor="text1"/>
          <w:sz w:val="24"/>
          <w:szCs w:val="24"/>
          <w:lang w:val="ro-RO"/>
        </w:rPr>
      </w:pPr>
      <w:r>
        <w:rPr>
          <w:rFonts w:ascii="Trebuchet MS" w:hAnsi="Trebuchet MS"/>
          <w:color w:val="000000" w:themeColor="text1"/>
          <w:sz w:val="24"/>
          <w:szCs w:val="24"/>
          <w:lang w:val="ro-RO"/>
        </w:rPr>
        <w:t>De asemenea, este necesară și completarea modelului de registru, aprobat prin anexa la procedură, cu o nouă coloană care se fie completată de notarii publici pentru achizițiile de locuințe care se vor efectua de persoane fizice în aceas</w:t>
      </w:r>
      <w:r>
        <w:rPr>
          <w:rFonts w:ascii="Trebuchet MS" w:hAnsi="Trebuchet MS"/>
          <w:color w:val="000000" w:themeColor="text1"/>
          <w:sz w:val="24"/>
          <w:szCs w:val="24"/>
          <w:lang w:val="ro-RO"/>
        </w:rPr>
        <w:t>tă perioadă.</w:t>
      </w:r>
    </w:p>
    <w:sectPr w:rsidR="00CB1775" w:rsidSect="00D16BAC">
      <w:headerReference w:type="default" r:id="rId11"/>
      <w:footerReference w:type="default" r:id="rId12"/>
      <w:pgSz w:w="11906" w:h="16838"/>
      <w:pgMar w:top="1094" w:right="707" w:bottom="784" w:left="1418" w:header="0" w:footer="278" w:gutter="0"/>
      <w:cols w:space="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25CF" w:rsidRDefault="00C125CF">
      <w:pPr>
        <w:spacing w:after="0" w:line="240" w:lineRule="auto"/>
      </w:pPr>
      <w:r>
        <w:separator/>
      </w:r>
    </w:p>
  </w:endnote>
  <w:endnote w:type="continuationSeparator" w:id="0">
    <w:p w:rsidR="00C125CF" w:rsidRDefault="00C1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rajan Pro">
    <w:panose1 w:val="02020502050506020301"/>
    <w:charset w:val="00"/>
    <w:family w:val="roman"/>
    <w:pitch w:val="variable"/>
    <w:sig w:usb0="800000AF" w:usb1="5000204B" w:usb2="00000000" w:usb3="00000000" w:csb0="0000009B" w:csb1="00000000"/>
  </w:font>
  <w:font w:name="Trebuchet MS">
    <w:panose1 w:val="020B0603020202020204"/>
    <w:charset w:val="00"/>
    <w:family w:val="swiss"/>
    <w:pitch w:val="variable"/>
    <w:sig w:usb0="00000687" w:usb1="00000000" w:usb2="00000000" w:usb3="00000000" w:csb0="0000009F" w:csb1="00000000"/>
  </w:font>
  <w:font w:name="Times New Roman CE">
    <w:altName w:val="Times New Roman"/>
    <w:panose1 w:val="02020603050405020304"/>
    <w:charset w:val="EE"/>
    <w:family w:val="auto"/>
    <w:pitch w:val="default"/>
    <w:sig w:usb0="00000000" w:usb1="00000000" w:usb2="00000000" w:usb3="00000000" w:csb0="00000002"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775" w:rsidRDefault="00CB1775">
    <w:pPr>
      <w:pStyle w:val="Footer"/>
    </w:pPr>
  </w:p>
  <w:p w:rsidR="00CB1775" w:rsidRDefault="00CB1775">
    <w:pPr>
      <w:pStyle w:val="Footer"/>
    </w:pPr>
  </w:p>
  <w:p w:rsidR="00CB1775" w:rsidRDefault="00C125CF">
    <w:pPr>
      <w:pStyle w:val="Footer"/>
    </w:pPr>
    <w:r>
      <w:rPr>
        <w:noProof/>
      </w:rPr>
      <mc:AlternateContent>
        <mc:Choice Requires="wps">
          <w:drawing>
            <wp:anchor distT="0" distB="0" distL="114300" distR="114300" simplePos="0" relativeHeight="251658752"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831174836"/>
                          </w:sdtPr>
                          <w:sdtEndPr/>
                          <w:sdtContent>
                            <w:p w:rsidR="00CB1775" w:rsidRDefault="00C125CF">
                              <w:pPr>
                                <w:pStyle w:val="Footer"/>
                              </w:pPr>
                              <w:r>
                                <w:t xml:space="preserve">Page </w:t>
                              </w:r>
                              <w:r>
                                <w:rPr>
                                  <w:bCs/>
                                  <w:sz w:val="24"/>
                                  <w:szCs w:val="24"/>
                                </w:rPr>
                                <w:fldChar w:fldCharType="begin"/>
                              </w:r>
                              <w:r>
                                <w:rPr>
                                  <w:bCs/>
                                  <w:sz w:val="24"/>
                                  <w:szCs w:val="24"/>
                                </w:rPr>
                                <w:instrText>PAGE</w:instrText>
                              </w:r>
                              <w:r>
                                <w:rPr>
                                  <w:bCs/>
                                  <w:sz w:val="24"/>
                                  <w:szCs w:val="24"/>
                                </w:rPr>
                                <w:fldChar w:fldCharType="separate"/>
                              </w:r>
                              <w:r w:rsidR="00424088">
                                <w:rPr>
                                  <w:bCs/>
                                  <w:noProof/>
                                  <w:sz w:val="24"/>
                                  <w:szCs w:val="24"/>
                                </w:rPr>
                                <w:t>2</w:t>
                              </w:r>
                              <w:r>
                                <w:rPr>
                                  <w:bCs/>
                                  <w:sz w:val="24"/>
                                  <w:szCs w:val="24"/>
                                </w:rPr>
                                <w:fldChar w:fldCharType="end"/>
                              </w:r>
                              <w:r>
                                <w:rPr>
                                  <w:bCs/>
                                  <w:sz w:val="24"/>
                                  <w:szCs w:val="24"/>
                                </w:rPr>
                                <w:t>/</w:t>
                              </w:r>
                              <w:r>
                                <w:rPr>
                                  <w:bCs/>
                                  <w:sz w:val="24"/>
                                  <w:szCs w:val="24"/>
                                </w:rPr>
                                <w:fldChar w:fldCharType="begin"/>
                              </w:r>
                              <w:r>
                                <w:rPr>
                                  <w:bCs/>
                                  <w:sz w:val="24"/>
                                  <w:szCs w:val="24"/>
                                </w:rPr>
                                <w:instrText>NUMPAGES</w:instrText>
                              </w:r>
                              <w:r>
                                <w:rPr>
                                  <w:bCs/>
                                  <w:sz w:val="24"/>
                                  <w:szCs w:val="24"/>
                                </w:rPr>
                                <w:fldChar w:fldCharType="separate"/>
                              </w:r>
                              <w:r w:rsidR="00424088">
                                <w:rPr>
                                  <w:bCs/>
                                  <w:noProof/>
                                  <w:sz w:val="24"/>
                                  <w:szCs w:val="24"/>
                                </w:rPr>
                                <w:t>2</w:t>
                              </w:r>
                              <w:r>
                                <w:rPr>
                                  <w:bCs/>
                                  <w:sz w:val="24"/>
                                  <w:szCs w:val="24"/>
                                </w:rPr>
                                <w:fldChar w:fldCharType="end"/>
                              </w:r>
                            </w:p>
                          </w:sdtContent>
                        </w:sdt>
                        <w:p w:rsidR="00CB1775" w:rsidRDefault="00CB1775">
                          <w:pPr>
                            <w:pStyle w:val="Footer"/>
                          </w:pPr>
                        </w:p>
                        <w:p w:rsidR="00CB1775" w:rsidRDefault="00CB1775"/>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92.8pt;margin-top:0;width:2in;height:2in;z-index:25165875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A0&#10;+KZ1UwIAAAkFAAAOAAAAAAAAAAAAAAAAAC4CAABkcnMvZTJvRG9jLnhtbFBLAQItABQABgAIAAAA&#10;IQBxqtG51wAAAAUBAAAPAAAAAAAAAAAAAAAAAK0EAABkcnMvZG93bnJldi54bWxQSwUGAAAAAAQA&#10;BADzAAAAsQUAAAAA&#10;" filled="f" stroked="f" strokeweight=".5pt">
              <v:textbox style="mso-fit-shape-to-text:t" inset="0,0,0,0">
                <w:txbxContent>
                  <w:sdt>
                    <w:sdtPr>
                      <w:id w:val="1831174836"/>
                    </w:sdtPr>
                    <w:sdtEndPr/>
                    <w:sdtContent>
                      <w:p w:rsidR="00CB1775" w:rsidRDefault="00C125CF">
                        <w:pPr>
                          <w:pStyle w:val="Footer"/>
                        </w:pPr>
                        <w:r>
                          <w:t xml:space="preserve">Page </w:t>
                        </w:r>
                        <w:r>
                          <w:rPr>
                            <w:bCs/>
                            <w:sz w:val="24"/>
                            <w:szCs w:val="24"/>
                          </w:rPr>
                          <w:fldChar w:fldCharType="begin"/>
                        </w:r>
                        <w:r>
                          <w:rPr>
                            <w:bCs/>
                            <w:sz w:val="24"/>
                            <w:szCs w:val="24"/>
                          </w:rPr>
                          <w:instrText>PAGE</w:instrText>
                        </w:r>
                        <w:r>
                          <w:rPr>
                            <w:bCs/>
                            <w:sz w:val="24"/>
                            <w:szCs w:val="24"/>
                          </w:rPr>
                          <w:fldChar w:fldCharType="separate"/>
                        </w:r>
                        <w:r w:rsidR="00424088">
                          <w:rPr>
                            <w:bCs/>
                            <w:noProof/>
                            <w:sz w:val="24"/>
                            <w:szCs w:val="24"/>
                          </w:rPr>
                          <w:t>2</w:t>
                        </w:r>
                        <w:r>
                          <w:rPr>
                            <w:bCs/>
                            <w:sz w:val="24"/>
                            <w:szCs w:val="24"/>
                          </w:rPr>
                          <w:fldChar w:fldCharType="end"/>
                        </w:r>
                        <w:r>
                          <w:rPr>
                            <w:bCs/>
                            <w:sz w:val="24"/>
                            <w:szCs w:val="24"/>
                          </w:rPr>
                          <w:t>/</w:t>
                        </w:r>
                        <w:r>
                          <w:rPr>
                            <w:bCs/>
                            <w:sz w:val="24"/>
                            <w:szCs w:val="24"/>
                          </w:rPr>
                          <w:fldChar w:fldCharType="begin"/>
                        </w:r>
                        <w:r>
                          <w:rPr>
                            <w:bCs/>
                            <w:sz w:val="24"/>
                            <w:szCs w:val="24"/>
                          </w:rPr>
                          <w:instrText>NUMPAGES</w:instrText>
                        </w:r>
                        <w:r>
                          <w:rPr>
                            <w:bCs/>
                            <w:sz w:val="24"/>
                            <w:szCs w:val="24"/>
                          </w:rPr>
                          <w:fldChar w:fldCharType="separate"/>
                        </w:r>
                        <w:r w:rsidR="00424088">
                          <w:rPr>
                            <w:bCs/>
                            <w:noProof/>
                            <w:sz w:val="24"/>
                            <w:szCs w:val="24"/>
                          </w:rPr>
                          <w:t>2</w:t>
                        </w:r>
                        <w:r>
                          <w:rPr>
                            <w:bCs/>
                            <w:sz w:val="24"/>
                            <w:szCs w:val="24"/>
                          </w:rPr>
                          <w:fldChar w:fldCharType="end"/>
                        </w:r>
                      </w:p>
                    </w:sdtContent>
                  </w:sdt>
                  <w:p w:rsidR="00CB1775" w:rsidRDefault="00CB1775">
                    <w:pPr>
                      <w:pStyle w:val="Footer"/>
                    </w:pPr>
                  </w:p>
                  <w:p w:rsidR="00CB1775" w:rsidRDefault="00CB1775"/>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25CF" w:rsidRDefault="00C125CF">
      <w:pPr>
        <w:spacing w:after="0" w:line="240" w:lineRule="auto"/>
      </w:pPr>
      <w:r>
        <w:separator/>
      </w:r>
    </w:p>
  </w:footnote>
  <w:footnote w:type="continuationSeparator" w:id="0">
    <w:p w:rsidR="00C125CF" w:rsidRDefault="00C1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1775" w:rsidRDefault="00C125CF">
    <w:pPr>
      <w:pStyle w:val="Header"/>
    </w:pPr>
    <w:r>
      <w:rPr>
        <w:sz w:val="1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7661" o:spid="_x0000_s2051" type="#_x0000_t136" style="position:absolute;margin-left:0;margin-top:0;width:446.05pt;height:141.2pt;rotation:-45;z-index:-251658240;mso-position-horizontal:center;mso-position-horizontal-relative:margin;mso-position-vertical:center;mso-position-vertical-relative:margin;mso-width-relative:page;mso-height-relative:page" fillcolor="silver" stroked="f">
          <v:fill opacity=".5"/>
          <v:textpath style="font-family:&quot;Microsoft YaHei&quot;" trim="t" fitpath="t" string="PROIECT"/>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left" w:pos="0"/>
        </w:tabs>
        <w:ind w:left="432" w:hanging="432"/>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nsid w:val="01063B8B"/>
    <w:multiLevelType w:val="singleLevel"/>
    <w:tmpl w:val="01063B8B"/>
    <w:lvl w:ilvl="0">
      <w:start w:val="1"/>
      <w:numFmt w:val="lowerLetter"/>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noPunctuationKerning/>
  <w:characterSpacingControl w:val="doNotCompress"/>
  <w:hdrShapeDefaults>
    <o:shapedefaults v:ext="edit" spidmax="2052" fillcolor="white">
      <v:fill color="white"/>
    </o:shapedefaults>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0997"/>
    <w:rsid w:val="000451D9"/>
    <w:rsid w:val="000469F6"/>
    <w:rsid w:val="00090F3B"/>
    <w:rsid w:val="000A55A6"/>
    <w:rsid w:val="000C2104"/>
    <w:rsid w:val="000E514A"/>
    <w:rsid w:val="00151B4B"/>
    <w:rsid w:val="00172A27"/>
    <w:rsid w:val="0019071A"/>
    <w:rsid w:val="00191571"/>
    <w:rsid w:val="002150DC"/>
    <w:rsid w:val="002354B9"/>
    <w:rsid w:val="002B30A0"/>
    <w:rsid w:val="002D0592"/>
    <w:rsid w:val="00353EA8"/>
    <w:rsid w:val="00371BB6"/>
    <w:rsid w:val="003A11C4"/>
    <w:rsid w:val="003C1BF8"/>
    <w:rsid w:val="00424088"/>
    <w:rsid w:val="004406EC"/>
    <w:rsid w:val="00484828"/>
    <w:rsid w:val="004D21DC"/>
    <w:rsid w:val="004F26CD"/>
    <w:rsid w:val="00501AF1"/>
    <w:rsid w:val="00530442"/>
    <w:rsid w:val="005979DC"/>
    <w:rsid w:val="005B5709"/>
    <w:rsid w:val="006055A5"/>
    <w:rsid w:val="0066571C"/>
    <w:rsid w:val="00693252"/>
    <w:rsid w:val="006B0F2D"/>
    <w:rsid w:val="006D3629"/>
    <w:rsid w:val="006F4A32"/>
    <w:rsid w:val="007278B3"/>
    <w:rsid w:val="007556E2"/>
    <w:rsid w:val="007F5D0E"/>
    <w:rsid w:val="008E2465"/>
    <w:rsid w:val="00975395"/>
    <w:rsid w:val="009D702A"/>
    <w:rsid w:val="00A07D46"/>
    <w:rsid w:val="00A17A59"/>
    <w:rsid w:val="00A64600"/>
    <w:rsid w:val="00A903B9"/>
    <w:rsid w:val="00B0140D"/>
    <w:rsid w:val="00B06643"/>
    <w:rsid w:val="00B41767"/>
    <w:rsid w:val="00B501B8"/>
    <w:rsid w:val="00B529B3"/>
    <w:rsid w:val="00B960F8"/>
    <w:rsid w:val="00BD3E3B"/>
    <w:rsid w:val="00BE5298"/>
    <w:rsid w:val="00C125CF"/>
    <w:rsid w:val="00C4379D"/>
    <w:rsid w:val="00CA6483"/>
    <w:rsid w:val="00CB1775"/>
    <w:rsid w:val="00CC4C5A"/>
    <w:rsid w:val="00CD626F"/>
    <w:rsid w:val="00D06904"/>
    <w:rsid w:val="00D16220"/>
    <w:rsid w:val="00D16BAC"/>
    <w:rsid w:val="00D5646F"/>
    <w:rsid w:val="00D86057"/>
    <w:rsid w:val="00DB4988"/>
    <w:rsid w:val="00E14F1C"/>
    <w:rsid w:val="00E261D2"/>
    <w:rsid w:val="00E869DD"/>
    <w:rsid w:val="00EA7055"/>
    <w:rsid w:val="00EF336F"/>
    <w:rsid w:val="00F01F7B"/>
    <w:rsid w:val="00FC706C"/>
    <w:rsid w:val="00FD414D"/>
    <w:rsid w:val="02961E57"/>
    <w:rsid w:val="02ED7E79"/>
    <w:rsid w:val="04176382"/>
    <w:rsid w:val="04692F29"/>
    <w:rsid w:val="04870D51"/>
    <w:rsid w:val="04D83E3E"/>
    <w:rsid w:val="050D4C51"/>
    <w:rsid w:val="05855467"/>
    <w:rsid w:val="05B3112D"/>
    <w:rsid w:val="063E6F41"/>
    <w:rsid w:val="06607037"/>
    <w:rsid w:val="069467F6"/>
    <w:rsid w:val="06CF0052"/>
    <w:rsid w:val="079649FC"/>
    <w:rsid w:val="085D2FC7"/>
    <w:rsid w:val="09412CF1"/>
    <w:rsid w:val="096A0DD6"/>
    <w:rsid w:val="097364AE"/>
    <w:rsid w:val="09833AC7"/>
    <w:rsid w:val="09D46F64"/>
    <w:rsid w:val="0A143258"/>
    <w:rsid w:val="0A344487"/>
    <w:rsid w:val="0A68477C"/>
    <w:rsid w:val="0A75672A"/>
    <w:rsid w:val="0A774C5E"/>
    <w:rsid w:val="0AF15744"/>
    <w:rsid w:val="0B69348A"/>
    <w:rsid w:val="0B813A10"/>
    <w:rsid w:val="0BDA27E0"/>
    <w:rsid w:val="0C342803"/>
    <w:rsid w:val="0CFA578B"/>
    <w:rsid w:val="0D1E7378"/>
    <w:rsid w:val="0D7C4A10"/>
    <w:rsid w:val="0D964771"/>
    <w:rsid w:val="0DEA29C3"/>
    <w:rsid w:val="0E054FBC"/>
    <w:rsid w:val="0E33164E"/>
    <w:rsid w:val="0EC0644A"/>
    <w:rsid w:val="0ECE126F"/>
    <w:rsid w:val="0EE94253"/>
    <w:rsid w:val="0FBD6589"/>
    <w:rsid w:val="0FF1273E"/>
    <w:rsid w:val="0FF26759"/>
    <w:rsid w:val="109A5902"/>
    <w:rsid w:val="10D46460"/>
    <w:rsid w:val="111904BD"/>
    <w:rsid w:val="11711CDF"/>
    <w:rsid w:val="130E69E3"/>
    <w:rsid w:val="1325590F"/>
    <w:rsid w:val="13744EF2"/>
    <w:rsid w:val="13907FE8"/>
    <w:rsid w:val="13E24EDA"/>
    <w:rsid w:val="14A11D59"/>
    <w:rsid w:val="14C54BC6"/>
    <w:rsid w:val="15BB1736"/>
    <w:rsid w:val="15D04011"/>
    <w:rsid w:val="163009A3"/>
    <w:rsid w:val="16741774"/>
    <w:rsid w:val="16A938D1"/>
    <w:rsid w:val="17143B4B"/>
    <w:rsid w:val="1719700E"/>
    <w:rsid w:val="171B47A3"/>
    <w:rsid w:val="176B52EF"/>
    <w:rsid w:val="17A93989"/>
    <w:rsid w:val="17BB28F8"/>
    <w:rsid w:val="17E26323"/>
    <w:rsid w:val="18276088"/>
    <w:rsid w:val="18D85C73"/>
    <w:rsid w:val="18E02252"/>
    <w:rsid w:val="195F069B"/>
    <w:rsid w:val="19FB1EB8"/>
    <w:rsid w:val="1A0560B6"/>
    <w:rsid w:val="1A233B0A"/>
    <w:rsid w:val="1ABF73FC"/>
    <w:rsid w:val="1AFA266B"/>
    <w:rsid w:val="1B656F04"/>
    <w:rsid w:val="1B6F1FAC"/>
    <w:rsid w:val="1B7528DB"/>
    <w:rsid w:val="1BB75F2E"/>
    <w:rsid w:val="1BDF77D1"/>
    <w:rsid w:val="1BFF6E30"/>
    <w:rsid w:val="1C0A790C"/>
    <w:rsid w:val="1D4465EE"/>
    <w:rsid w:val="1D816ED9"/>
    <w:rsid w:val="1E502DA4"/>
    <w:rsid w:val="1ECD5FC8"/>
    <w:rsid w:val="1F275D88"/>
    <w:rsid w:val="1F50442D"/>
    <w:rsid w:val="201874A6"/>
    <w:rsid w:val="208D7B4B"/>
    <w:rsid w:val="20B37CF8"/>
    <w:rsid w:val="20D700E5"/>
    <w:rsid w:val="216A7EC3"/>
    <w:rsid w:val="217A0558"/>
    <w:rsid w:val="22514E34"/>
    <w:rsid w:val="23AB2E36"/>
    <w:rsid w:val="24365C93"/>
    <w:rsid w:val="247E0B79"/>
    <w:rsid w:val="24F93D2F"/>
    <w:rsid w:val="252429CB"/>
    <w:rsid w:val="2533705B"/>
    <w:rsid w:val="25527C1A"/>
    <w:rsid w:val="258D689A"/>
    <w:rsid w:val="25C3146F"/>
    <w:rsid w:val="260E346C"/>
    <w:rsid w:val="261117B6"/>
    <w:rsid w:val="263F3D81"/>
    <w:rsid w:val="266C1D58"/>
    <w:rsid w:val="26967CD5"/>
    <w:rsid w:val="27AC7C10"/>
    <w:rsid w:val="286B27AE"/>
    <w:rsid w:val="28D05142"/>
    <w:rsid w:val="293B49A3"/>
    <w:rsid w:val="29434497"/>
    <w:rsid w:val="29A87002"/>
    <w:rsid w:val="29B77727"/>
    <w:rsid w:val="29C87116"/>
    <w:rsid w:val="29CF0159"/>
    <w:rsid w:val="2A8950A7"/>
    <w:rsid w:val="2B4073F5"/>
    <w:rsid w:val="2C241700"/>
    <w:rsid w:val="2C4444DD"/>
    <w:rsid w:val="2C4D5194"/>
    <w:rsid w:val="2C9D230E"/>
    <w:rsid w:val="2CA056BB"/>
    <w:rsid w:val="2D5A0258"/>
    <w:rsid w:val="2D79037A"/>
    <w:rsid w:val="2D90575F"/>
    <w:rsid w:val="2DE8080F"/>
    <w:rsid w:val="2DF668DA"/>
    <w:rsid w:val="2E0D281F"/>
    <w:rsid w:val="2EB269BC"/>
    <w:rsid w:val="2EEB2F77"/>
    <w:rsid w:val="2F421315"/>
    <w:rsid w:val="2FA2164D"/>
    <w:rsid w:val="30903610"/>
    <w:rsid w:val="3170478E"/>
    <w:rsid w:val="31ED127D"/>
    <w:rsid w:val="32A34E35"/>
    <w:rsid w:val="32D017C5"/>
    <w:rsid w:val="336B7857"/>
    <w:rsid w:val="34D6505C"/>
    <w:rsid w:val="35B2289C"/>
    <w:rsid w:val="35E20BD7"/>
    <w:rsid w:val="36E677C9"/>
    <w:rsid w:val="39994425"/>
    <w:rsid w:val="3A5363D4"/>
    <w:rsid w:val="3A881D55"/>
    <w:rsid w:val="3AD05231"/>
    <w:rsid w:val="3B0D5AD5"/>
    <w:rsid w:val="3B24613A"/>
    <w:rsid w:val="3B5A24EC"/>
    <w:rsid w:val="3B6162A6"/>
    <w:rsid w:val="3BA2452B"/>
    <w:rsid w:val="3BB239BC"/>
    <w:rsid w:val="3C5052DC"/>
    <w:rsid w:val="3C7911D0"/>
    <w:rsid w:val="3CC75B85"/>
    <w:rsid w:val="3DF84153"/>
    <w:rsid w:val="3E547AF9"/>
    <w:rsid w:val="3E5E2B25"/>
    <w:rsid w:val="3E824581"/>
    <w:rsid w:val="3EB96570"/>
    <w:rsid w:val="3F2E4A55"/>
    <w:rsid w:val="3F3D2AC1"/>
    <w:rsid w:val="3F6E5B70"/>
    <w:rsid w:val="3FF104AC"/>
    <w:rsid w:val="400A6635"/>
    <w:rsid w:val="40321DF2"/>
    <w:rsid w:val="405B4261"/>
    <w:rsid w:val="406B4AF1"/>
    <w:rsid w:val="409534F9"/>
    <w:rsid w:val="412764B5"/>
    <w:rsid w:val="421A3601"/>
    <w:rsid w:val="425F0A65"/>
    <w:rsid w:val="427A4B3E"/>
    <w:rsid w:val="42C45C6C"/>
    <w:rsid w:val="43413361"/>
    <w:rsid w:val="435C1C97"/>
    <w:rsid w:val="43A82984"/>
    <w:rsid w:val="43AD1385"/>
    <w:rsid w:val="43C12803"/>
    <w:rsid w:val="44972316"/>
    <w:rsid w:val="44A06941"/>
    <w:rsid w:val="452734C9"/>
    <w:rsid w:val="4534233F"/>
    <w:rsid w:val="45F574E2"/>
    <w:rsid w:val="47B27F93"/>
    <w:rsid w:val="47C73BB8"/>
    <w:rsid w:val="47D4503D"/>
    <w:rsid w:val="48616FDC"/>
    <w:rsid w:val="487D7250"/>
    <w:rsid w:val="48B94D6A"/>
    <w:rsid w:val="48CB5C61"/>
    <w:rsid w:val="49143FE8"/>
    <w:rsid w:val="496005A5"/>
    <w:rsid w:val="49942FAB"/>
    <w:rsid w:val="49AC0E2B"/>
    <w:rsid w:val="49EB2301"/>
    <w:rsid w:val="49FF616E"/>
    <w:rsid w:val="4A13727C"/>
    <w:rsid w:val="4A182F62"/>
    <w:rsid w:val="4A571BD4"/>
    <w:rsid w:val="4AB73C8A"/>
    <w:rsid w:val="4B191FE8"/>
    <w:rsid w:val="4BD73130"/>
    <w:rsid w:val="4C080B5D"/>
    <w:rsid w:val="4C212D83"/>
    <w:rsid w:val="4C5C7B50"/>
    <w:rsid w:val="4CFD40E4"/>
    <w:rsid w:val="4D5D6007"/>
    <w:rsid w:val="4D997C31"/>
    <w:rsid w:val="4E717DBC"/>
    <w:rsid w:val="4EA15799"/>
    <w:rsid w:val="4EC0205A"/>
    <w:rsid w:val="4F621804"/>
    <w:rsid w:val="4FBD67EC"/>
    <w:rsid w:val="50701E2F"/>
    <w:rsid w:val="510E29D1"/>
    <w:rsid w:val="514A0312"/>
    <w:rsid w:val="520E2DB6"/>
    <w:rsid w:val="524215E2"/>
    <w:rsid w:val="524B7530"/>
    <w:rsid w:val="53022288"/>
    <w:rsid w:val="53BE164D"/>
    <w:rsid w:val="53E32AFD"/>
    <w:rsid w:val="54A82C92"/>
    <w:rsid w:val="54E75B23"/>
    <w:rsid w:val="55332966"/>
    <w:rsid w:val="56180769"/>
    <w:rsid w:val="566610F5"/>
    <w:rsid w:val="56C74431"/>
    <w:rsid w:val="56E70D81"/>
    <w:rsid w:val="57255903"/>
    <w:rsid w:val="57B92DC8"/>
    <w:rsid w:val="57B9309C"/>
    <w:rsid w:val="57C6052D"/>
    <w:rsid w:val="58A53EC5"/>
    <w:rsid w:val="58F95140"/>
    <w:rsid w:val="591A2A00"/>
    <w:rsid w:val="59643181"/>
    <w:rsid w:val="59F94FC4"/>
    <w:rsid w:val="59FB1F9F"/>
    <w:rsid w:val="5A144114"/>
    <w:rsid w:val="5A26048B"/>
    <w:rsid w:val="5A3A44D8"/>
    <w:rsid w:val="5A4E2B96"/>
    <w:rsid w:val="5AFA264B"/>
    <w:rsid w:val="5B6461FF"/>
    <w:rsid w:val="5B9019EF"/>
    <w:rsid w:val="5CDF52A9"/>
    <w:rsid w:val="5D164360"/>
    <w:rsid w:val="5D233270"/>
    <w:rsid w:val="5D3D53B3"/>
    <w:rsid w:val="5DF74699"/>
    <w:rsid w:val="5E9A5B08"/>
    <w:rsid w:val="5F355C12"/>
    <w:rsid w:val="5FD561DB"/>
    <w:rsid w:val="5FD8172D"/>
    <w:rsid w:val="5FEB3C9D"/>
    <w:rsid w:val="606D26B3"/>
    <w:rsid w:val="60A84ED6"/>
    <w:rsid w:val="61A05A10"/>
    <w:rsid w:val="61A8290A"/>
    <w:rsid w:val="623F712E"/>
    <w:rsid w:val="627B2486"/>
    <w:rsid w:val="636C7677"/>
    <w:rsid w:val="63BF52B6"/>
    <w:rsid w:val="648F3099"/>
    <w:rsid w:val="64AB6860"/>
    <w:rsid w:val="65800FFF"/>
    <w:rsid w:val="658C5614"/>
    <w:rsid w:val="65CC4EE7"/>
    <w:rsid w:val="660139E7"/>
    <w:rsid w:val="66262987"/>
    <w:rsid w:val="66570A0E"/>
    <w:rsid w:val="665E55D1"/>
    <w:rsid w:val="668E5652"/>
    <w:rsid w:val="68307D69"/>
    <w:rsid w:val="690B0B9C"/>
    <w:rsid w:val="691C2EEF"/>
    <w:rsid w:val="69346E75"/>
    <w:rsid w:val="694B42D7"/>
    <w:rsid w:val="69642058"/>
    <w:rsid w:val="6991712F"/>
    <w:rsid w:val="699376A7"/>
    <w:rsid w:val="6A3B7E71"/>
    <w:rsid w:val="6A925AC3"/>
    <w:rsid w:val="6AA33C30"/>
    <w:rsid w:val="6AB01B63"/>
    <w:rsid w:val="6B03747A"/>
    <w:rsid w:val="6B4F24D8"/>
    <w:rsid w:val="6B7A622C"/>
    <w:rsid w:val="6B8A5D7D"/>
    <w:rsid w:val="6BF42CC8"/>
    <w:rsid w:val="6C3C6D76"/>
    <w:rsid w:val="6C571FB3"/>
    <w:rsid w:val="6C62037E"/>
    <w:rsid w:val="6D495883"/>
    <w:rsid w:val="6D704300"/>
    <w:rsid w:val="6E013A41"/>
    <w:rsid w:val="6E471F31"/>
    <w:rsid w:val="6EBA7563"/>
    <w:rsid w:val="70015CD0"/>
    <w:rsid w:val="71D13647"/>
    <w:rsid w:val="72524CC9"/>
    <w:rsid w:val="7274541D"/>
    <w:rsid w:val="729358A8"/>
    <w:rsid w:val="730610EC"/>
    <w:rsid w:val="732E5013"/>
    <w:rsid w:val="73450595"/>
    <w:rsid w:val="736A273F"/>
    <w:rsid w:val="75910AE0"/>
    <w:rsid w:val="75B520E1"/>
    <w:rsid w:val="75C3347E"/>
    <w:rsid w:val="75D41055"/>
    <w:rsid w:val="75F949BE"/>
    <w:rsid w:val="767D7B9E"/>
    <w:rsid w:val="76856499"/>
    <w:rsid w:val="769B271D"/>
    <w:rsid w:val="76B25324"/>
    <w:rsid w:val="76B4183D"/>
    <w:rsid w:val="76C263E2"/>
    <w:rsid w:val="776969DB"/>
    <w:rsid w:val="776D3B0A"/>
    <w:rsid w:val="777A4A8E"/>
    <w:rsid w:val="77992F87"/>
    <w:rsid w:val="779B73D7"/>
    <w:rsid w:val="779D4A34"/>
    <w:rsid w:val="77D73915"/>
    <w:rsid w:val="78571EFD"/>
    <w:rsid w:val="7891244B"/>
    <w:rsid w:val="78BE1AC9"/>
    <w:rsid w:val="78E56D57"/>
    <w:rsid w:val="797037C8"/>
    <w:rsid w:val="79940958"/>
    <w:rsid w:val="7A8F06B1"/>
    <w:rsid w:val="7AED109E"/>
    <w:rsid w:val="7B0E3DC2"/>
    <w:rsid w:val="7B4A5C91"/>
    <w:rsid w:val="7BBA62BF"/>
    <w:rsid w:val="7CA25CFC"/>
    <w:rsid w:val="7CF2633F"/>
    <w:rsid w:val="7D377EE8"/>
    <w:rsid w:val="7D9B57EE"/>
    <w:rsid w:val="7E6A1AA3"/>
    <w:rsid w:val="7E867D49"/>
    <w:rsid w:val="7EFA7FC4"/>
    <w:rsid w:val="7F0E53C2"/>
    <w:rsid w:val="7F202FAC"/>
    <w:rsid w:val="7F6668CD"/>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2" fillcolor="white">
      <v:fill color="white"/>
    </o:shapedefaults>
    <o:shapelayout v:ext="edit">
      <o:idmap v:ext="edit" data="1"/>
    </o:shapelayout>
  </w:shapeDefaults>
  <w:decimalSymbol w:val=","/>
  <w:listSeparator w:val=";"/>
  <w15:docId w15:val="{C20783EC-3A78-4C03-B112-249A6623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heme="minorHAnsi" w:eastAsia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odyText">
    <w:name w:val="Body Text"/>
    <w:basedOn w:val="Normal"/>
    <w:qFormat/>
    <w:pPr>
      <w:spacing w:after="140" w:line="276" w:lineRule="auto"/>
    </w:pPr>
  </w:style>
  <w:style w:type="paragraph" w:styleId="Caption">
    <w:name w:val="caption"/>
    <w:basedOn w:val="Normal"/>
    <w:next w:val="Normal"/>
    <w:qFormat/>
    <w:pPr>
      <w:suppressLineNumbers/>
      <w:spacing w:before="120" w:after="120"/>
    </w:pPr>
    <w:rPr>
      <w:rFonts w:cs="Arial"/>
      <w:i/>
      <w:iCs/>
      <w:sz w:val="24"/>
      <w:szCs w:val="24"/>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List">
    <w:name w:val="List"/>
    <w:basedOn w:val="BodyText"/>
    <w:qFormat/>
    <w:rPr>
      <w:rFonts w:cs="Arial"/>
    </w:rPr>
  </w:style>
  <w:style w:type="paragraph" w:styleId="NormalWeb">
    <w:name w:val="Normal (Web)"/>
    <w:basedOn w:val="Normal"/>
    <w:qFormat/>
    <w:pPr>
      <w:spacing w:before="280" w:after="280"/>
    </w:pPr>
    <w:rPr>
      <w:color w:val="000000"/>
    </w:rPr>
  </w:style>
  <w:style w:type="character" w:styleId="CommentReference">
    <w:name w:val="annotation reference"/>
    <w:basedOn w:val="DefaultParagraphFont"/>
    <w:uiPriority w:val="99"/>
    <w:semiHidden/>
    <w:unhideWhenUsed/>
    <w:qFormat/>
    <w:rPr>
      <w:sz w:val="16"/>
      <w:szCs w:val="16"/>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InternetLink">
    <w:name w:val="Internet Link"/>
    <w:basedOn w:val="DefaultParagraphFont"/>
    <w:uiPriority w:val="99"/>
    <w:unhideWhenUsed/>
    <w:qFormat/>
    <w:rPr>
      <w:color w:val="0563C1" w:themeColor="hyperlink"/>
      <w:u w:val="single"/>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customStyle="1" w:styleId="Index">
    <w:name w:val="Index"/>
    <w:basedOn w:val="Normal"/>
    <w:qFormat/>
    <w:pPr>
      <w:suppressLineNumbers/>
    </w:pPr>
    <w:rPr>
      <w:rFonts w:cs="Arial"/>
    </w:rPr>
  </w:style>
  <w:style w:type="paragraph" w:customStyle="1" w:styleId="CaracterCaracter">
    <w:name w:val="Caracter Caracter"/>
    <w:basedOn w:val="Normal"/>
    <w:qFormat/>
    <w:pPr>
      <w:spacing w:after="0" w:line="240" w:lineRule="auto"/>
    </w:pPr>
    <w:rPr>
      <w:rFonts w:ascii="Times New Roman" w:eastAsia="Times New Roman" w:hAnsi="Times New Roman" w:cs="Times New Roman"/>
      <w:sz w:val="24"/>
      <w:szCs w:val="24"/>
      <w:lang w:val="pl-PL" w:eastAsia="pl-PL"/>
    </w:rPr>
  </w:style>
  <w:style w:type="paragraph" w:customStyle="1" w:styleId="FrameContents">
    <w:name w:val="Frame Contents"/>
    <w:basedOn w:val="Normal"/>
    <w:qFormat/>
  </w:style>
  <w:style w:type="paragraph" w:customStyle="1" w:styleId="DefaultText">
    <w:name w:val="Default Text"/>
    <w:basedOn w:val="Normal"/>
    <w:qFormat/>
    <w:pPr>
      <w:autoSpaceDE w:val="0"/>
      <w:autoSpaceDN w:val="0"/>
      <w:adjustRightInd w:val="0"/>
    </w:pPr>
  </w:style>
  <w:style w:type="paragraph" w:customStyle="1" w:styleId="western">
    <w:name w:val="western"/>
    <w:basedOn w:val="Normal"/>
    <w:qFormat/>
    <w:pPr>
      <w:spacing w:before="280" w:after="144" w:line="288" w:lineRule="auto"/>
    </w:pPr>
    <w:rPr>
      <w:color w:val="000000"/>
    </w:rPr>
  </w:style>
  <w:style w:type="paragraph" w:customStyle="1" w:styleId="DefaultText11">
    <w:name w:val="Default Text:1:1"/>
    <w:basedOn w:val="Normal"/>
    <w:qFormat/>
    <w:pPr>
      <w:autoSpaceDE w:val="0"/>
      <w:autoSpaceDN w:val="0"/>
      <w:adjustRightInd w:val="0"/>
    </w:pPr>
  </w:style>
  <w:style w:type="character" w:customStyle="1" w:styleId="BalloonTextChar">
    <w:name w:val="Balloon Text Char"/>
    <w:basedOn w:val="DefaultParagraphFont"/>
    <w:link w:val="BalloonText"/>
    <w:uiPriority w:val="99"/>
    <w:semiHidden/>
    <w:qFormat/>
    <w:rPr>
      <w:rFonts w:ascii="Tahoma" w:eastAsiaTheme="minorHAnsi" w:hAnsi="Tahoma" w:cs="Tahoma"/>
      <w:sz w:val="16"/>
      <w:szCs w:val="16"/>
      <w:lang w:val="en-US" w:eastAsia="en-US"/>
    </w:rPr>
  </w:style>
  <w:style w:type="character" w:customStyle="1" w:styleId="rvts8">
    <w:name w:val="rvts8"/>
    <w:basedOn w:val="DefaultParagraphFont"/>
    <w:qFormat/>
  </w:style>
  <w:style w:type="character" w:customStyle="1" w:styleId="CommentTextChar">
    <w:name w:val="Comment Text Char"/>
    <w:basedOn w:val="DefaultParagraphFont"/>
    <w:link w:val="CommentText"/>
    <w:uiPriority w:val="99"/>
    <w:semiHidden/>
    <w:qFormat/>
    <w:rPr>
      <w:rFonts w:asciiTheme="minorHAnsi" w:eastAsiaTheme="minorHAnsi" w:hAnsiTheme="minorHAnsi" w:cstheme="minorBidi"/>
      <w:lang w:val="en-US" w:eastAsia="en-US"/>
    </w:rPr>
  </w:style>
  <w:style w:type="character" w:customStyle="1" w:styleId="CommentSubjectChar">
    <w:name w:val="Comment Subject Char"/>
    <w:basedOn w:val="CommentTextChar"/>
    <w:link w:val="CommentSubject"/>
    <w:uiPriority w:val="99"/>
    <w:semiHidden/>
    <w:qFormat/>
    <w:rPr>
      <w:rFonts w:asciiTheme="minorHAnsi" w:eastAsiaTheme="minorHAnsi" w:hAnsiTheme="minorHAnsi" w:cstheme="minorBidi"/>
      <w:b/>
      <w:bCs/>
      <w:lang w:val="en-US" w:eastAsia="en-US"/>
    </w:rPr>
  </w:style>
  <w:style w:type="paragraph" w:customStyle="1" w:styleId="rvps1">
    <w:name w:val="rvps1"/>
    <w:basedOn w:val="Normal"/>
    <w:qFormat/>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Text1">
    <w:name w:val="Default Text:1"/>
    <w:basedOn w:val="Normal"/>
    <w:qFormat/>
    <w:rPr>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9896C1-84CA-4A3C-BDCA-B38E0D801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625</Words>
  <Characters>3566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Ministerul Finantelor Publice</Company>
  <LinksUpToDate>false</LinksUpToDate>
  <CharactersWithSpaces>4183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CRISTIAN-NICOLAE MARIN</dc:creator>
  <cp:lastModifiedBy>IONELA GHENCEA</cp:lastModifiedBy>
  <cp:revision>3</cp:revision>
  <cp:lastPrinted>2025-05-13T08:49:00Z</cp:lastPrinted>
  <dcterms:created xsi:type="dcterms:W3CDTF">2025-07-29T11:33:00Z</dcterms:created>
  <dcterms:modified xsi:type="dcterms:W3CDTF">2025-07-29T11:34:00Z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Ministerul Finantelor Publice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1033-10.2.0.7646</vt:lpwstr>
  </property>
  <property fmtid="{D5CDD505-2E9C-101B-9397-08002B2CF9AE}" pid="10" name="ICV">
    <vt:lpwstr>D6CE0F98FEA94237805092C3EE3CE615</vt:lpwstr>
  </property>
</Properties>
</file>